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9A07379" w:rsidR="00D26923" w:rsidRPr="00D26923" w:rsidRDefault="00462B81" w:rsidP="00D26923">
      <w:pPr>
        <w:jc w:val="center"/>
        <w:rPr>
          <w:b/>
          <w:bCs/>
        </w:rPr>
      </w:pPr>
      <w:r>
        <w:rPr>
          <w:b/>
          <w:bCs/>
        </w:rPr>
        <w:t>PRIMORSKO-GORANSKA ŽUPANIJA</w:t>
      </w:r>
    </w:p>
    <w:p w14:paraId="4E6BFA91" w14:textId="027665DE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 xml:space="preserve">OPĆINA </w:t>
      </w:r>
      <w:r w:rsidR="00462B81">
        <w:rPr>
          <w:b/>
          <w:bCs/>
        </w:rPr>
        <w:t>MOŠĆENIČKA DRAGA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00D8B9C5" w:rsid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</w:t>
      </w:r>
    </w:p>
    <w:p w14:paraId="6CB6AEE7" w14:textId="4427449C" w:rsidR="00462B81" w:rsidRPr="00D26923" w:rsidRDefault="00462B81" w:rsidP="00D2692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OPĆINE MOŠĆENIČKA DRAGA</w:t>
      </w:r>
    </w:p>
    <w:p w14:paraId="05D90026" w14:textId="71235CB3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C84D3E"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42DA7399" w:rsidR="00D26923" w:rsidRDefault="00D26923" w:rsidP="00D26923">
      <w:pPr>
        <w:jc w:val="right"/>
      </w:pPr>
      <w:r>
        <w:t xml:space="preserve">Pripremio: Jedinstveni upravni odjel Općine </w:t>
      </w:r>
      <w:r w:rsidR="00462B81">
        <w:t>Mošćenička Draga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03BC698B" w:rsidR="00907B67" w:rsidRPr="00AD6408" w:rsidRDefault="00462B81" w:rsidP="007D3139">
      <w:pPr>
        <w:ind w:left="142"/>
        <w:jc w:val="center"/>
        <w:rPr>
          <w:b/>
          <w:bCs/>
        </w:rPr>
      </w:pPr>
      <w:r>
        <w:rPr>
          <w:b/>
          <w:bCs/>
        </w:rPr>
        <w:t>Mošćenička Draga</w:t>
      </w:r>
      <w:r w:rsidR="00D26923" w:rsidRPr="00AD6408">
        <w:rPr>
          <w:b/>
          <w:bCs/>
        </w:rPr>
        <w:t xml:space="preserve">, </w:t>
      </w:r>
      <w:r w:rsidR="00773AF1">
        <w:rPr>
          <w:b/>
          <w:bCs/>
        </w:rPr>
        <w:t>rujan</w:t>
      </w:r>
      <w:r w:rsidR="00D26923" w:rsidRPr="00AD6408">
        <w:rPr>
          <w:b/>
          <w:bCs/>
        </w:rPr>
        <w:t xml:space="preserve"> 202</w:t>
      </w:r>
      <w:r w:rsidR="00C84D3E">
        <w:rPr>
          <w:b/>
          <w:bCs/>
        </w:rPr>
        <w:t>5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5B46B33D" w14:textId="4C432E07" w:rsidR="005C74A7" w:rsidRDefault="005C74A7" w:rsidP="005C74A7">
      <w:pPr>
        <w:jc w:val="both"/>
      </w:pPr>
      <w:r>
        <w:t xml:space="preserve">Člankom 88. Zakona o proračunu (Narodne novine, 144/21) (u daljnjem tekstu: Zakon) propisana je obveza Jedinstvenog upravnog odjela Općine </w:t>
      </w:r>
      <w:r w:rsidR="00462B81">
        <w:t>Mošćenička Draga</w:t>
      </w:r>
      <w:r>
        <w:t xml:space="preserve">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22C97680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 w:rsidR="00E37FB3"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 xml:space="preserve">GODIŠNJEG IZVJEŠTAJA O IZVRŠENJU PRORAČUNA OPĆINE </w:t>
      </w:r>
      <w:r w:rsidR="00462B81">
        <w:rPr>
          <w:b/>
          <w:bCs/>
          <w:sz w:val="28"/>
          <w:szCs w:val="28"/>
        </w:rPr>
        <w:t>MOŠĆENIČKA DRAGA</w:t>
      </w:r>
      <w:r w:rsidRPr="005359F1">
        <w:rPr>
          <w:b/>
          <w:bCs/>
          <w:sz w:val="28"/>
          <w:szCs w:val="28"/>
        </w:rPr>
        <w:t xml:space="preserve"> ZA 202</w:t>
      </w:r>
      <w:r w:rsidR="00C84D3E"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7D38082B" w:rsidR="002C2AFE" w:rsidRDefault="002C2AFE" w:rsidP="002C2AFE">
      <w:pPr>
        <w:jc w:val="both"/>
      </w:pPr>
      <w:bookmarkStart w:id="3" w:name="_Hlk179550116"/>
      <w:bookmarkStart w:id="4" w:name="_Hlk161654653"/>
      <w:r>
        <w:t xml:space="preserve">Iz sažetka Računa prihoda i rashoda vidljivo je da su u izvještajnom razdoblju ostvareni ukupni prihodi od </w:t>
      </w:r>
      <w:r w:rsidR="00E75089">
        <w:t>1.187.116,58</w:t>
      </w:r>
      <w:r>
        <w:t xml:space="preserve"> eura što u odnosu na tekući plan za 202</w:t>
      </w:r>
      <w:r w:rsidR="00C84D3E">
        <w:t>5</w:t>
      </w:r>
      <w:r>
        <w:t xml:space="preserve">. godinu predstavlja izvršenje od </w:t>
      </w:r>
      <w:r w:rsidR="00E75089">
        <w:t>20,69</w:t>
      </w:r>
      <w:r>
        <w:t xml:space="preserve"> %. </w:t>
      </w:r>
      <w:r w:rsidRPr="00675DAE">
        <w:t>U odnosu na isto razdoblje 202</w:t>
      </w:r>
      <w:r w:rsidR="00C84D3E">
        <w:t>4</w:t>
      </w:r>
      <w:r w:rsidRPr="00675DAE">
        <w:t xml:space="preserve">. godine ukupni prihodi bilježe </w:t>
      </w:r>
      <w:r w:rsidR="003645E3">
        <w:t>smanjenje za</w:t>
      </w:r>
      <w:r w:rsidRPr="00675DAE">
        <w:t xml:space="preserve"> </w:t>
      </w:r>
      <w:r w:rsidR="003645E3">
        <w:t>4,11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43638FDD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E75089">
        <w:t>1.514.682,35</w:t>
      </w:r>
      <w:r w:rsidRPr="0033197A">
        <w:t xml:space="preserve"> eura što u odnosu na tekući plan za 202</w:t>
      </w:r>
      <w:r w:rsidR="00C84D3E">
        <w:t>5</w:t>
      </w:r>
      <w:r w:rsidRPr="0033197A">
        <w:t xml:space="preserve">. godinu predstavlja izvršenje od </w:t>
      </w:r>
      <w:r w:rsidR="00E75089">
        <w:t>20,75</w:t>
      </w:r>
      <w:r w:rsidRPr="0033197A">
        <w:t>%. U odnosu na isto razdoblje 202</w:t>
      </w:r>
      <w:r w:rsidR="00C84D3E">
        <w:t>4</w:t>
      </w:r>
      <w:r w:rsidRPr="0033197A">
        <w:t xml:space="preserve">. godine ukupni </w:t>
      </w:r>
      <w:r>
        <w:t>rashodi</w:t>
      </w:r>
      <w:r w:rsidRPr="0033197A">
        <w:t xml:space="preserve"> bilježe </w:t>
      </w:r>
      <w:r w:rsidR="00C151DF">
        <w:t>povećanje</w:t>
      </w:r>
      <w:r w:rsidR="00C84D3E">
        <w:t xml:space="preserve"> od </w:t>
      </w:r>
      <w:r w:rsidR="00C151DF">
        <w:t>50,98</w:t>
      </w:r>
      <w:r w:rsidRPr="0033197A">
        <w:t xml:space="preserve"> %.</w:t>
      </w:r>
    </w:p>
    <w:p w14:paraId="5F76C529" w14:textId="77777777" w:rsidR="002C2AFE" w:rsidRDefault="002C2AFE" w:rsidP="002C2AFE">
      <w:pPr>
        <w:jc w:val="both"/>
      </w:pPr>
    </w:p>
    <w:p w14:paraId="6A769666" w14:textId="237B6B31" w:rsidR="002C2AFE" w:rsidRDefault="002C2AFE" w:rsidP="00C151DF">
      <w:pPr>
        <w:jc w:val="both"/>
      </w:pPr>
      <w:r w:rsidRPr="0033197A">
        <w:t xml:space="preserve">Iz navedenog proizlazi razlika između ostvarenih ukupnih prihoda i rashoda, odnosno </w:t>
      </w:r>
      <w:r w:rsidR="00C151DF">
        <w:t>manjak</w:t>
      </w:r>
      <w:r w:rsidRPr="0033197A">
        <w:t xml:space="preserve"> prihoda Proračuna </w:t>
      </w:r>
      <w:r>
        <w:t xml:space="preserve">Općine </w:t>
      </w:r>
      <w:r w:rsidR="00C151DF">
        <w:t>Mošćenička Draga</w:t>
      </w:r>
      <w:r w:rsidRPr="0033197A">
        <w:t xml:space="preserve"> ostvaren u </w:t>
      </w:r>
      <w:r>
        <w:t xml:space="preserve">razdoblju I. – </w:t>
      </w:r>
      <w:r w:rsidR="00C638A4">
        <w:t>V</w:t>
      </w:r>
      <w:r>
        <w:t>I. 202</w:t>
      </w:r>
      <w:r w:rsidR="00C84D3E">
        <w:t>5</w:t>
      </w:r>
      <w:r>
        <w:t>. godine</w:t>
      </w:r>
      <w:r w:rsidRPr="0033197A">
        <w:t xml:space="preserve"> u iznosu od</w:t>
      </w:r>
      <w:r>
        <w:t xml:space="preserve"> </w:t>
      </w:r>
      <w:r w:rsidR="00C151DF">
        <w:t>327.565,77</w:t>
      </w:r>
      <w:r>
        <w:t xml:space="preserve"> eura</w:t>
      </w:r>
      <w:r w:rsidRPr="0033197A">
        <w:t>.</w:t>
      </w:r>
    </w:p>
    <w:p w14:paraId="7844CC51" w14:textId="77777777" w:rsidR="002C2AFE" w:rsidRDefault="002C2AFE" w:rsidP="002C2AFE">
      <w:pPr>
        <w:jc w:val="both"/>
      </w:pPr>
    </w:p>
    <w:p w14:paraId="025F2B07" w14:textId="640182EC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C638A4">
        <w:t>višak</w:t>
      </w:r>
      <w:r>
        <w:t xml:space="preserve"> iz prethodne 202</w:t>
      </w:r>
      <w:r w:rsidR="00C84D3E">
        <w:t>4</w:t>
      </w:r>
      <w:r>
        <w:t xml:space="preserve">. godine iznosi </w:t>
      </w:r>
      <w:r w:rsidR="00C151DF">
        <w:t>899.652,61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C151DF">
        <w:rPr>
          <w:b/>
          <w:bCs/>
        </w:rPr>
        <w:t>572.086,84</w:t>
      </w:r>
      <w:r w:rsidRPr="00675DAE">
        <w:rPr>
          <w:b/>
          <w:bCs/>
        </w:rPr>
        <w:t xml:space="preserve"> eura.</w:t>
      </w:r>
    </w:p>
    <w:bookmarkEnd w:id="3"/>
    <w:p w14:paraId="5B4B2851" w14:textId="77777777" w:rsidR="005D280D" w:rsidRDefault="005D280D" w:rsidP="002C2AFE">
      <w:pPr>
        <w:jc w:val="both"/>
      </w:pPr>
    </w:p>
    <w:bookmarkEnd w:id="4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5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5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28044FA7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6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886819">
        <w:rPr>
          <w:rFonts w:eastAsia="Times New Roman"/>
          <w:lang w:eastAsia="hr-HR"/>
        </w:rPr>
        <w:t>1.147.836,98</w:t>
      </w:r>
      <w:r w:rsidR="00C638A4"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465FC2">
        <w:rPr>
          <w:rFonts w:eastAsia="Times New Roman"/>
          <w:lang w:eastAsia="hr-HR"/>
        </w:rPr>
        <w:t>5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886819">
        <w:rPr>
          <w:rFonts w:eastAsia="Times New Roman"/>
          <w:lang w:eastAsia="hr-HR"/>
        </w:rPr>
        <w:t>23,94</w:t>
      </w:r>
      <w:r w:rsidRPr="0003466C">
        <w:rPr>
          <w:rFonts w:eastAsia="Times New Roman"/>
          <w:lang w:eastAsia="hr-HR"/>
        </w:rPr>
        <w:t>%. U odnosu na isto razdoblje 202</w:t>
      </w:r>
      <w:r w:rsidR="00465FC2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</w:t>
      </w:r>
      <w:r w:rsidR="00886819">
        <w:rPr>
          <w:rFonts w:eastAsia="Times New Roman"/>
          <w:lang w:eastAsia="hr-HR"/>
        </w:rPr>
        <w:t>smanjenje</w:t>
      </w:r>
      <w:r w:rsidRPr="0003466C">
        <w:rPr>
          <w:rFonts w:eastAsia="Times New Roman"/>
          <w:lang w:eastAsia="hr-HR"/>
        </w:rPr>
        <w:t xml:space="preserve"> od </w:t>
      </w:r>
      <w:r w:rsidR="00886819">
        <w:rPr>
          <w:rFonts w:eastAsia="Times New Roman"/>
          <w:lang w:eastAsia="hr-HR"/>
        </w:rPr>
        <w:t>5,89</w:t>
      </w:r>
      <w:r w:rsidRPr="0003466C">
        <w:rPr>
          <w:rFonts w:eastAsia="Times New Roman"/>
          <w:lang w:eastAsia="hr-HR"/>
        </w:rPr>
        <w:t>%.</w:t>
      </w:r>
    </w:p>
    <w:bookmarkEnd w:id="6"/>
    <w:p w14:paraId="1B5D8BDA" w14:textId="2EAFB4D5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886819">
        <w:rPr>
          <w:rFonts w:eastAsia="Times New Roman"/>
          <w:lang w:eastAsia="hr-HR"/>
        </w:rPr>
        <w:t>714.989,13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465FC2">
        <w:rPr>
          <w:rFonts w:eastAsia="Times New Roman"/>
          <w:lang w:eastAsia="hr-HR"/>
        </w:rPr>
        <w:t>5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886819">
        <w:rPr>
          <w:rFonts w:eastAsia="Times New Roman"/>
          <w:lang w:eastAsia="hr-HR"/>
        </w:rPr>
        <w:t>44,35</w:t>
      </w:r>
      <w:r w:rsidR="006C7F90">
        <w:rPr>
          <w:rFonts w:eastAsia="Times New Roman"/>
          <w:lang w:eastAsia="hr-HR"/>
        </w:rPr>
        <w:t>%. U odnosu na isto razdoblje 202</w:t>
      </w:r>
      <w:r w:rsidR="00465FC2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godine ukupni prihodi od poreza bilježe povećanje za </w:t>
      </w:r>
      <w:r w:rsidR="00886819">
        <w:rPr>
          <w:rFonts w:eastAsia="Times New Roman"/>
          <w:lang w:eastAsia="hr-HR"/>
        </w:rPr>
        <w:t>6,90</w:t>
      </w:r>
      <w:r w:rsidR="006C7F90">
        <w:rPr>
          <w:rFonts w:eastAsia="Times New Roman"/>
          <w:lang w:eastAsia="hr-HR"/>
        </w:rPr>
        <w:t>%.</w:t>
      </w:r>
    </w:p>
    <w:p w14:paraId="42377FC2" w14:textId="7DB1FAD6" w:rsidR="0003466C" w:rsidRPr="00C638A4" w:rsidRDefault="006C7F90" w:rsidP="00C638A4">
      <w:pPr>
        <w:spacing w:after="160" w:line="259" w:lineRule="auto"/>
        <w:ind w:left="1276" w:hanging="556"/>
        <w:jc w:val="both"/>
        <w:rPr>
          <w:rFonts w:eastAsia="Times New Roman"/>
          <w:i/>
          <w:iCs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C638A4" w:rsidRPr="00C638A4">
        <w:rPr>
          <w:rFonts w:eastAsia="Times New Roman"/>
          <w:i/>
          <w:iCs/>
          <w:lang w:eastAsia="hr-HR"/>
        </w:rPr>
        <w:t>Porez na dohodak od nesamostalnog rada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</w:t>
      </w:r>
      <w:r w:rsidR="00465FC2">
        <w:rPr>
          <w:rFonts w:eastAsia="Times New Roman"/>
          <w:i/>
          <w:iCs/>
          <w:lang w:eastAsia="hr-HR"/>
        </w:rPr>
        <w:t xml:space="preserve"> </w:t>
      </w:r>
      <w:r w:rsidR="00C638A4" w:rsidRPr="00C638A4">
        <w:rPr>
          <w:rFonts w:eastAsia="Times New Roman"/>
          <w:i/>
          <w:iCs/>
          <w:lang w:eastAsia="hr-HR"/>
        </w:rPr>
        <w:t>na dohodak od samostalnih djelatnosti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imovine i imovinskih prava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kapitala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po godišnjoj prijavi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utvrđen u postupku nadzora za prethodne godine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Povrat poreza na dohodak po godišnjoj prijavi</w:t>
      </w:r>
    </w:p>
    <w:p w14:paraId="5F8B929A" w14:textId="4ED5BF0F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lastRenderedPageBreak/>
        <w:tab/>
      </w:r>
      <w:bookmarkStart w:id="7" w:name="_Hlk146111912"/>
      <w:r>
        <w:rPr>
          <w:rFonts w:eastAsia="Times New Roman"/>
          <w:lang w:eastAsia="hr-HR"/>
        </w:rPr>
        <w:t xml:space="preserve">U izvještajnom razdoblju ostvareni ukupni prihodi od poreza na dohodak iznose </w:t>
      </w:r>
      <w:r w:rsidR="00886819">
        <w:rPr>
          <w:rFonts w:eastAsia="Times New Roman"/>
          <w:lang w:eastAsia="hr-HR"/>
        </w:rPr>
        <w:t>576.048,73</w:t>
      </w:r>
      <w:r>
        <w:rPr>
          <w:rFonts w:eastAsia="Times New Roman"/>
          <w:lang w:eastAsia="hr-HR"/>
        </w:rPr>
        <w:t xml:space="preserve"> eura</w:t>
      </w:r>
      <w:r w:rsidR="00465FC2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465FC2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dohodak bilježe povećanje od </w:t>
      </w:r>
      <w:r w:rsidR="00886819">
        <w:rPr>
          <w:rFonts w:eastAsia="Times New Roman"/>
          <w:lang w:eastAsia="hr-HR"/>
        </w:rPr>
        <w:t>8,14</w:t>
      </w:r>
      <w:r w:rsidR="00425C05">
        <w:rPr>
          <w:rFonts w:eastAsia="Times New Roman"/>
          <w:lang w:eastAsia="hr-HR"/>
        </w:rPr>
        <w:t>%.</w:t>
      </w:r>
      <w:bookmarkEnd w:id="7"/>
    </w:p>
    <w:p w14:paraId="662D16BB" w14:textId="789A75AA" w:rsidR="0003466C" w:rsidRPr="002D566C" w:rsidRDefault="0003466C" w:rsidP="002D566C">
      <w:pPr>
        <w:spacing w:after="160" w:line="259" w:lineRule="auto"/>
        <w:ind w:left="1276" w:hanging="567"/>
        <w:jc w:val="both"/>
        <w:rPr>
          <w:rFonts w:eastAsia="Times New Roman"/>
          <w:bCs/>
          <w:iCs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2D566C" w:rsidRPr="002D566C">
        <w:rPr>
          <w:rFonts w:eastAsia="Times New Roman"/>
          <w:bCs/>
          <w:i/>
          <w:lang w:eastAsia="hr-HR"/>
        </w:rPr>
        <w:t>Stalni porezi na nepokretnu imovinu (zemlju, zgrade, kuće i ostalo), Povremeni porezi na imovinu</w:t>
      </w:r>
    </w:p>
    <w:p w14:paraId="6396C648" w14:textId="373BC5BD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886819">
        <w:rPr>
          <w:rFonts w:eastAsia="Times New Roman"/>
          <w:lang w:eastAsia="hr-HR"/>
        </w:rPr>
        <w:t>133.321,53</w:t>
      </w:r>
      <w:r w:rsidR="008103D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eura</w:t>
      </w:r>
      <w:r w:rsidR="00B46B41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B46B41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>
        <w:rPr>
          <w:rFonts w:eastAsia="Times New Roman"/>
          <w:lang w:eastAsia="hr-HR"/>
        </w:rPr>
        <w:t xml:space="preserve"> za </w:t>
      </w:r>
      <w:r w:rsidR="00886819">
        <w:rPr>
          <w:rFonts w:eastAsia="Times New Roman"/>
          <w:lang w:eastAsia="hr-HR"/>
        </w:rPr>
        <w:t>4,45</w:t>
      </w:r>
      <w:r>
        <w:rPr>
          <w:rFonts w:eastAsia="Times New Roman"/>
          <w:lang w:eastAsia="hr-HR"/>
        </w:rPr>
        <w:t>%.</w:t>
      </w:r>
    </w:p>
    <w:p w14:paraId="039450AE" w14:textId="3177382B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promet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, 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korištenje dobara ili izvođenje aktivnosti</w:t>
      </w:r>
    </w:p>
    <w:p w14:paraId="7B2E53A5" w14:textId="7449C8E5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886819">
        <w:rPr>
          <w:rFonts w:eastAsia="Times New Roman"/>
          <w:lang w:eastAsia="hr-HR"/>
        </w:rPr>
        <w:t>7.731,25</w:t>
      </w:r>
      <w:r w:rsidRPr="00B32590">
        <w:rPr>
          <w:rFonts w:eastAsia="Times New Roman"/>
          <w:lang w:eastAsia="hr-HR"/>
        </w:rPr>
        <w:t xml:space="preserve"> eura</w:t>
      </w:r>
      <w:r w:rsidR="00BD47F2">
        <w:rPr>
          <w:rFonts w:eastAsia="Times New Roman"/>
          <w:lang w:eastAsia="hr-HR"/>
        </w:rPr>
        <w:t xml:space="preserve">. </w:t>
      </w:r>
      <w:r w:rsidRPr="00B32590">
        <w:rPr>
          <w:rFonts w:eastAsia="Times New Roman"/>
          <w:lang w:eastAsia="hr-HR"/>
        </w:rPr>
        <w:t>U odnosu na isto razdoblje</w:t>
      </w:r>
      <w:r w:rsidR="00BD47F2">
        <w:rPr>
          <w:rFonts w:eastAsia="Times New Roman"/>
          <w:lang w:eastAsia="hr-HR"/>
        </w:rPr>
        <w:t xml:space="preserve"> prethodne</w:t>
      </w:r>
      <w:r w:rsidRPr="00B32590">
        <w:rPr>
          <w:rFonts w:eastAsia="Times New Roman"/>
          <w:lang w:eastAsia="hr-HR"/>
        </w:rPr>
        <w:t xml:space="preserve"> godine ukupni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B32590">
        <w:rPr>
          <w:rFonts w:eastAsia="Times New Roman"/>
          <w:lang w:eastAsia="hr-HR"/>
        </w:rPr>
        <w:t xml:space="preserve"> za </w:t>
      </w:r>
      <w:r w:rsidR="00BD47F2">
        <w:rPr>
          <w:rFonts w:eastAsia="Times New Roman"/>
          <w:lang w:eastAsia="hr-HR"/>
        </w:rPr>
        <w:t>5,</w:t>
      </w:r>
      <w:r w:rsidR="00886819">
        <w:rPr>
          <w:rFonts w:eastAsia="Times New Roman"/>
          <w:lang w:eastAsia="hr-HR"/>
        </w:rPr>
        <w:t>1</w:t>
      </w:r>
      <w:r w:rsidR="00BD47F2">
        <w:rPr>
          <w:rFonts w:eastAsia="Times New Roman"/>
          <w:lang w:eastAsia="hr-HR"/>
        </w:rPr>
        <w:t>0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763679F0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8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886819">
        <w:rPr>
          <w:rFonts w:eastAsia="Times New Roman"/>
          <w:lang w:eastAsia="hr-HR"/>
        </w:rPr>
        <w:t>153.609,14</w:t>
      </w:r>
      <w:r w:rsidR="005433F7"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="005433F7"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</w:t>
      </w:r>
      <w:r w:rsidR="00886819">
        <w:rPr>
          <w:rFonts w:eastAsia="Times New Roman"/>
          <w:lang w:eastAsia="hr-HR"/>
        </w:rPr>
        <w:t>t</w:t>
      </w:r>
      <w:r w:rsidR="00E96561">
        <w:rPr>
          <w:rFonts w:eastAsia="Times New Roman"/>
          <w:lang w:eastAsia="hr-HR"/>
        </w:rPr>
        <w:t>hodne</w:t>
      </w:r>
      <w:r w:rsidR="005433F7" w:rsidRPr="005433F7">
        <w:rPr>
          <w:rFonts w:eastAsia="Times New Roman"/>
          <w:lang w:eastAsia="hr-HR"/>
        </w:rPr>
        <w:t xml:space="preserve">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886819">
        <w:rPr>
          <w:rFonts w:eastAsia="Times New Roman"/>
          <w:lang w:eastAsia="hr-HR"/>
        </w:rPr>
        <w:t>smanjenje od</w:t>
      </w:r>
      <w:r w:rsidR="00E96561">
        <w:rPr>
          <w:rFonts w:eastAsia="Times New Roman"/>
          <w:lang w:eastAsia="hr-HR"/>
        </w:rPr>
        <w:t xml:space="preserve"> </w:t>
      </w:r>
      <w:r w:rsidR="00886819">
        <w:rPr>
          <w:rFonts w:eastAsia="Times New Roman"/>
          <w:lang w:eastAsia="hr-HR"/>
        </w:rPr>
        <w:t>21,32</w:t>
      </w:r>
      <w:r w:rsidR="005433F7" w:rsidRPr="005433F7">
        <w:rPr>
          <w:rFonts w:eastAsia="Times New Roman"/>
          <w:lang w:eastAsia="hr-HR"/>
        </w:rPr>
        <w:t>%.</w:t>
      </w:r>
    </w:p>
    <w:p w14:paraId="15EBC7AC" w14:textId="24E80A55" w:rsidR="00A61256" w:rsidRDefault="00A61256" w:rsidP="00A6125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>
        <w:rPr>
          <w:rFonts w:eastAsia="Times New Roman"/>
          <w:b/>
          <w:bCs/>
          <w:lang w:eastAsia="hr-HR"/>
        </w:rPr>
        <w:t>2</w:t>
      </w:r>
      <w:r w:rsidRPr="001C0816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/>
          <w:bCs/>
          <w:lang w:eastAsia="hr-HR"/>
        </w:rPr>
        <w:t>–</w:t>
      </w:r>
      <w:r w:rsidRPr="0003466C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/>
          <w:bCs/>
          <w:lang w:eastAsia="hr-HR"/>
        </w:rPr>
        <w:t>Pomoći od međunarodnih organizacija te institucija i tijela EU</w:t>
      </w:r>
    </w:p>
    <w:p w14:paraId="26ECD69A" w14:textId="5F152446" w:rsidR="00A61256" w:rsidRDefault="00A61256" w:rsidP="00A61256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iznose </w:t>
      </w:r>
      <w:r>
        <w:rPr>
          <w:rFonts w:eastAsia="Times New Roman"/>
          <w:lang w:eastAsia="hr-HR"/>
        </w:rPr>
        <w:t>7.737,00</w:t>
      </w:r>
      <w:r w:rsidRPr="005433F7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 xml:space="preserve">. </w:t>
      </w:r>
      <w:r w:rsidRPr="005433F7">
        <w:rPr>
          <w:rFonts w:eastAsia="Times New Roman"/>
          <w:lang w:eastAsia="hr-HR"/>
        </w:rPr>
        <w:t>U odnosu na isto razdoblje</w:t>
      </w:r>
      <w:r>
        <w:rPr>
          <w:rFonts w:eastAsia="Times New Roman"/>
          <w:lang w:eastAsia="hr-HR"/>
        </w:rPr>
        <w:t xml:space="preserve"> prethodne</w:t>
      </w:r>
      <w:r w:rsidRPr="005433F7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smanjenje</w:t>
      </w:r>
      <w:r w:rsidRPr="005433F7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od</w:t>
      </w:r>
      <w:r w:rsidRPr="005433F7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28,57</w:t>
      </w:r>
      <w:r w:rsidRPr="005433F7">
        <w:rPr>
          <w:rFonts w:eastAsia="Times New Roman"/>
          <w:lang w:eastAsia="hr-HR"/>
        </w:rPr>
        <w:t>%.</w:t>
      </w:r>
    </w:p>
    <w:bookmarkEnd w:id="8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50D07BBE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A61256">
        <w:rPr>
          <w:rFonts w:eastAsia="Times New Roman"/>
          <w:lang w:eastAsia="hr-HR"/>
        </w:rPr>
        <w:t>135.492,14</w:t>
      </w:r>
      <w:r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</w:t>
      </w:r>
      <w:r w:rsidR="00A61256">
        <w:rPr>
          <w:rFonts w:eastAsia="Times New Roman"/>
          <w:lang w:eastAsia="hr-HR"/>
        </w:rPr>
        <w:t>t</w:t>
      </w:r>
      <w:r w:rsidR="00E96561">
        <w:rPr>
          <w:rFonts w:eastAsia="Times New Roman"/>
          <w:lang w:eastAsia="hr-HR"/>
        </w:rPr>
        <w:t>hodne</w:t>
      </w:r>
      <w:r w:rsidRPr="005433F7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A61256">
        <w:rPr>
          <w:rFonts w:eastAsia="Times New Roman"/>
          <w:lang w:eastAsia="hr-HR"/>
        </w:rPr>
        <w:t>109,06</w:t>
      </w:r>
      <w:r w:rsidRPr="005433F7">
        <w:rPr>
          <w:rFonts w:eastAsia="Times New Roman"/>
          <w:lang w:eastAsia="hr-HR"/>
        </w:rPr>
        <w:t>%.</w:t>
      </w:r>
    </w:p>
    <w:p w14:paraId="05EF5E9B" w14:textId="5CB6CD27" w:rsidR="0003466C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od HZMO-a, HZZ-a, HZZO-a- financiranje programa Javnih radova</w:t>
      </w:r>
    </w:p>
    <w:p w14:paraId="3D6ACEA6" w14:textId="77777777" w:rsidR="00AB74B0" w:rsidRDefault="008C12F3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8C12F3">
        <w:rPr>
          <w:rFonts w:eastAsia="Times New Roman"/>
          <w:lang w:eastAsia="hr-HR"/>
        </w:rPr>
        <w:tab/>
        <w:t xml:space="preserve">U izvještajnom razdoblju </w:t>
      </w:r>
      <w:r>
        <w:rPr>
          <w:rFonts w:eastAsia="Times New Roman"/>
          <w:lang w:eastAsia="hr-HR"/>
        </w:rPr>
        <w:t>prihodi nisu ostvareni, kao niti u izvještajnom razdoblju prethodne godine.</w:t>
      </w:r>
      <w:r w:rsidR="00AB74B0" w:rsidRPr="00AB74B0">
        <w:rPr>
          <w:rFonts w:eastAsia="Times New Roman"/>
          <w:lang w:eastAsia="hr-HR"/>
        </w:rPr>
        <w:t xml:space="preserve"> </w:t>
      </w:r>
    </w:p>
    <w:p w14:paraId="4A3892C0" w14:textId="45868521" w:rsidR="00AB74B0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B74B0">
        <w:rPr>
          <w:rFonts w:eastAsia="Times New Roman"/>
          <w:b/>
          <w:bCs/>
          <w:lang w:eastAsia="hr-HR"/>
        </w:rPr>
        <w:t>635 – Pomoći izravnanja za decentralizirane funkcije i fiskalnog izravnanja</w:t>
      </w:r>
      <w:r>
        <w:rPr>
          <w:rFonts w:eastAsia="Times New Roman"/>
          <w:lang w:eastAsia="hr-HR"/>
        </w:rPr>
        <w:t xml:space="preserve">: </w:t>
      </w:r>
      <w:r>
        <w:rPr>
          <w:rFonts w:eastAsia="Times New Roman"/>
          <w:i/>
          <w:iCs/>
          <w:sz w:val="20"/>
          <w:szCs w:val="20"/>
          <w:lang w:eastAsia="hr-HR"/>
        </w:rPr>
        <w:t xml:space="preserve">Pomoći fiskalnog izravnanja </w:t>
      </w:r>
    </w:p>
    <w:p w14:paraId="3E429921" w14:textId="20484350" w:rsidR="008C12F3" w:rsidRPr="0003466C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AB74B0">
        <w:rPr>
          <w:rFonts w:eastAsia="Times New Roman"/>
          <w:lang w:eastAsia="hr-HR"/>
        </w:rPr>
        <w:tab/>
        <w:t>U izvještajnom razdoblju ostvareni ukupni prihodi</w:t>
      </w:r>
      <w:r>
        <w:rPr>
          <w:rFonts w:eastAsia="Times New Roman"/>
          <w:lang w:eastAsia="hr-HR"/>
        </w:rPr>
        <w:t xml:space="preserve"> od pomoći fiskalnog izravnanja iznose </w:t>
      </w:r>
      <w:r w:rsidR="00A61256">
        <w:rPr>
          <w:rFonts w:eastAsia="Times New Roman"/>
          <w:lang w:eastAsia="hr-HR"/>
        </w:rPr>
        <w:t>10.380,00</w:t>
      </w:r>
      <w:r>
        <w:rPr>
          <w:rFonts w:eastAsia="Times New Roman"/>
          <w:lang w:eastAsia="hr-HR"/>
        </w:rPr>
        <w:t xml:space="preserve"> eura. </w:t>
      </w:r>
      <w:r w:rsidRPr="00AB74B0">
        <w:rPr>
          <w:rFonts w:eastAsia="Times New Roman"/>
          <w:lang w:eastAsia="hr-HR"/>
        </w:rPr>
        <w:t>U odnosu na isto razdoblje pre</w:t>
      </w:r>
      <w:r>
        <w:rPr>
          <w:rFonts w:eastAsia="Times New Roman"/>
          <w:lang w:eastAsia="hr-HR"/>
        </w:rPr>
        <w:t>t</w:t>
      </w:r>
      <w:r w:rsidRPr="00AB74B0">
        <w:rPr>
          <w:rFonts w:eastAsia="Times New Roman"/>
          <w:lang w:eastAsia="hr-HR"/>
        </w:rPr>
        <w:t>hodne godine ukupni prihodi od</w:t>
      </w:r>
      <w:r>
        <w:rPr>
          <w:rFonts w:eastAsia="Times New Roman"/>
          <w:lang w:eastAsia="hr-HR"/>
        </w:rPr>
        <w:t xml:space="preserve"> pomoći fiskalnog izravnanja ostvareni</w:t>
      </w:r>
      <w:r w:rsidR="00A61256">
        <w:rPr>
          <w:rFonts w:eastAsia="Times New Roman"/>
          <w:lang w:eastAsia="hr-HR"/>
        </w:rPr>
        <w:t xml:space="preserve"> su manje za 3,62%</w:t>
      </w:r>
      <w:r>
        <w:rPr>
          <w:rFonts w:eastAsia="Times New Roman"/>
          <w:lang w:eastAsia="hr-HR"/>
        </w:rPr>
        <w:t>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25BC256F" w:rsidR="002D46D3" w:rsidRPr="00500BB8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500BB8">
        <w:rPr>
          <w:rFonts w:eastAsia="Times New Roman"/>
          <w:lang w:eastAsia="hr-HR"/>
        </w:rPr>
        <w:tab/>
      </w:r>
      <w:r w:rsidR="00500BB8" w:rsidRPr="00500BB8">
        <w:rPr>
          <w:rFonts w:eastAsia="Times New Roman"/>
          <w:lang w:eastAsia="hr-HR"/>
        </w:rPr>
        <w:t xml:space="preserve">U izvještajnom razdoblju prihodi </w:t>
      </w:r>
      <w:r w:rsidR="005B6398">
        <w:rPr>
          <w:rFonts w:eastAsia="Times New Roman"/>
          <w:lang w:eastAsia="hr-HR"/>
        </w:rPr>
        <w:t>su</w:t>
      </w:r>
      <w:r w:rsidR="00500BB8" w:rsidRPr="00500BB8">
        <w:rPr>
          <w:rFonts w:eastAsia="Times New Roman"/>
          <w:lang w:eastAsia="hr-HR"/>
        </w:rPr>
        <w:t xml:space="preserve"> ostvareni</w:t>
      </w:r>
      <w:r w:rsidR="005B6398">
        <w:rPr>
          <w:rFonts w:eastAsia="Times New Roman"/>
          <w:lang w:eastAsia="hr-HR"/>
        </w:rPr>
        <w:t xml:space="preserve"> u iznosu od </w:t>
      </w:r>
      <w:r w:rsidR="00A61256">
        <w:rPr>
          <w:rFonts w:eastAsia="Times New Roman"/>
          <w:lang w:eastAsia="hr-HR"/>
        </w:rPr>
        <w:t>0,00</w:t>
      </w:r>
      <w:r w:rsidR="005B6398">
        <w:rPr>
          <w:rFonts w:eastAsia="Times New Roman"/>
          <w:lang w:eastAsia="hr-HR"/>
        </w:rPr>
        <w:t xml:space="preserve"> eura</w:t>
      </w:r>
      <w:r w:rsidR="00500BB8" w:rsidRPr="00500BB8">
        <w:rPr>
          <w:rFonts w:eastAsia="Times New Roman"/>
          <w:lang w:eastAsia="hr-HR"/>
        </w:rPr>
        <w:t>,</w:t>
      </w:r>
      <w:r w:rsidR="005B6398">
        <w:rPr>
          <w:rFonts w:eastAsia="Times New Roman"/>
          <w:lang w:eastAsia="hr-HR"/>
        </w:rPr>
        <w:t xml:space="preserve"> a u istom izvještajnom razdoblju prethodne godine </w:t>
      </w:r>
      <w:r w:rsidR="00A61256">
        <w:rPr>
          <w:rFonts w:eastAsia="Times New Roman"/>
          <w:lang w:eastAsia="hr-HR"/>
        </w:rPr>
        <w:t>su ostvareni u iznosu od 108.820,54 eur</w:t>
      </w:r>
      <w:r w:rsidR="005B6398">
        <w:rPr>
          <w:rFonts w:eastAsia="Times New Roman"/>
          <w:lang w:eastAsia="hr-HR"/>
        </w:rPr>
        <w:t>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5025B530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A61256">
        <w:rPr>
          <w:rFonts w:eastAsia="Times New Roman"/>
          <w:lang w:eastAsia="hr-HR"/>
        </w:rPr>
        <w:t>73.769,81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5B6398">
        <w:rPr>
          <w:rFonts w:eastAsia="Times New Roman"/>
          <w:lang w:eastAsia="hr-HR"/>
        </w:rPr>
        <w:t>5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A61256">
        <w:rPr>
          <w:rFonts w:eastAsia="Times New Roman"/>
          <w:lang w:eastAsia="hr-HR"/>
        </w:rPr>
        <w:t>25,90</w:t>
      </w:r>
      <w:r w:rsidR="000169AD" w:rsidRPr="000169AD">
        <w:rPr>
          <w:rFonts w:eastAsia="Times New Roman"/>
          <w:lang w:eastAsia="hr-HR"/>
        </w:rPr>
        <w:t>%. U odnosu na isto razdoblje</w:t>
      </w:r>
      <w:r w:rsidR="005B6398">
        <w:rPr>
          <w:rFonts w:eastAsia="Times New Roman"/>
          <w:lang w:eastAsia="hr-HR"/>
        </w:rPr>
        <w:t xml:space="preserve"> prethodne</w:t>
      </w:r>
      <w:r w:rsidR="000169AD" w:rsidRPr="000169AD">
        <w:rPr>
          <w:rFonts w:eastAsia="Times New Roman"/>
          <w:lang w:eastAsia="hr-HR"/>
        </w:rPr>
        <w:t xml:space="preserve"> godine ukupni prihodi od pomoći bilježe </w:t>
      </w:r>
      <w:r w:rsidR="00A61256">
        <w:rPr>
          <w:rFonts w:eastAsia="Times New Roman"/>
          <w:lang w:eastAsia="hr-HR"/>
        </w:rPr>
        <w:t>smanjenje</w:t>
      </w:r>
      <w:r w:rsidR="000169AD" w:rsidRPr="000169AD">
        <w:rPr>
          <w:rFonts w:eastAsia="Times New Roman"/>
          <w:lang w:eastAsia="hr-HR"/>
        </w:rPr>
        <w:t xml:space="preserve"> za </w:t>
      </w:r>
      <w:r w:rsidR="00A61256">
        <w:rPr>
          <w:rFonts w:eastAsia="Times New Roman"/>
          <w:lang w:eastAsia="hr-HR"/>
        </w:rPr>
        <w:t>33,40</w:t>
      </w:r>
      <w:r w:rsidR="000169AD" w:rsidRPr="000169AD">
        <w:rPr>
          <w:rFonts w:eastAsia="Times New Roman"/>
          <w:lang w:eastAsia="hr-HR"/>
        </w:rPr>
        <w:t>%.</w:t>
      </w:r>
    </w:p>
    <w:p w14:paraId="4540E3F2" w14:textId="77777777" w:rsidR="00164DF7" w:rsidRDefault="00164DF7" w:rsidP="000169AD">
      <w:pPr>
        <w:spacing w:after="160" w:line="259" w:lineRule="auto"/>
        <w:ind w:left="1276" w:hanging="567"/>
        <w:jc w:val="both"/>
        <w:rPr>
          <w:rFonts w:eastAsia="Times New Roman"/>
          <w:b/>
          <w:bCs/>
          <w:lang w:eastAsia="hr-HR"/>
        </w:rPr>
      </w:pPr>
    </w:p>
    <w:p w14:paraId="29A4F4DC" w14:textId="6EAB4BDD" w:rsidR="00164DF7" w:rsidRPr="0003466C" w:rsidRDefault="00164DF7" w:rsidP="00164DF7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lastRenderedPageBreak/>
        <w:t xml:space="preserve">641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Prihodi od financijske imovine: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>
        <w:rPr>
          <w:rFonts w:eastAsia="Times New Roman"/>
          <w:i/>
          <w:iCs/>
          <w:sz w:val="20"/>
          <w:szCs w:val="20"/>
          <w:lang w:eastAsia="hr-HR"/>
        </w:rPr>
        <w:t xml:space="preserve">Prihodi od financijske imovine,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Prihodi od </w:t>
      </w:r>
      <w:r>
        <w:rPr>
          <w:rFonts w:eastAsia="Times New Roman"/>
          <w:i/>
          <w:iCs/>
          <w:sz w:val="20"/>
          <w:szCs w:val="20"/>
          <w:lang w:eastAsia="hr-HR"/>
        </w:rPr>
        <w:t>zateznih kamata</w:t>
      </w:r>
    </w:p>
    <w:p w14:paraId="385253BF" w14:textId="2EB45F50" w:rsidR="00164DF7" w:rsidRDefault="00164DF7" w:rsidP="00164DF7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od</w:t>
      </w:r>
      <w:r w:rsidRPr="000169A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74,53</w:t>
      </w:r>
      <w:r w:rsidRPr="000169AD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</w:t>
      </w:r>
      <w:r>
        <w:rPr>
          <w:rFonts w:eastAsia="Times New Roman"/>
          <w:lang w:eastAsia="hr-HR"/>
        </w:rPr>
        <w:t xml:space="preserve"> prethodne</w:t>
      </w:r>
      <w:r w:rsidRPr="000169AD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>
        <w:rPr>
          <w:rFonts w:eastAsia="Times New Roman"/>
          <w:lang w:eastAsia="hr-HR"/>
        </w:rPr>
        <w:t>75,57</w:t>
      </w:r>
      <w:r w:rsidRPr="000169AD">
        <w:rPr>
          <w:rFonts w:eastAsia="Times New Roman"/>
          <w:lang w:eastAsia="hr-HR"/>
        </w:rPr>
        <w:t>%.</w:t>
      </w:r>
    </w:p>
    <w:p w14:paraId="6909B69B" w14:textId="77777777" w:rsidR="00164DF7" w:rsidRDefault="00164DF7" w:rsidP="000169AD">
      <w:pPr>
        <w:spacing w:after="160" w:line="259" w:lineRule="auto"/>
        <w:ind w:left="1276" w:hanging="567"/>
        <w:jc w:val="both"/>
        <w:rPr>
          <w:rFonts w:eastAsia="Times New Roman"/>
          <w:b/>
          <w:bCs/>
          <w:lang w:eastAsia="hr-HR"/>
        </w:rPr>
      </w:pPr>
    </w:p>
    <w:p w14:paraId="2DB0A1D3" w14:textId="657588B0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5C4E39">
        <w:rPr>
          <w:rFonts w:eastAsia="Times New Roman"/>
          <w:i/>
          <w:iCs/>
          <w:sz w:val="20"/>
          <w:szCs w:val="20"/>
          <w:lang w:eastAsia="hr-HR"/>
        </w:rPr>
        <w:t xml:space="preserve">Prihodi od nefinancijske imovine,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zakupa poljoprivrednog zemljišta, Naknada za korištenje naftne luke, naftovoda i eksploataciju mineralnih sirovina, Ostali prihodi od nefinancijske imovine</w:t>
      </w:r>
    </w:p>
    <w:p w14:paraId="076C3FF5" w14:textId="301CA3BF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FE33C8">
        <w:rPr>
          <w:rFonts w:eastAsia="Times New Roman"/>
          <w:lang w:eastAsia="hr-HR"/>
        </w:rPr>
        <w:t>73.695,28</w:t>
      </w:r>
      <w:r w:rsidRPr="000169AD">
        <w:rPr>
          <w:rFonts w:eastAsia="Times New Roman"/>
          <w:lang w:eastAsia="hr-HR"/>
        </w:rPr>
        <w:t xml:space="preserve"> eura</w:t>
      </w:r>
      <w:r w:rsidR="005C4E39"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</w:t>
      </w:r>
      <w:r w:rsidR="005C4E39">
        <w:rPr>
          <w:rFonts w:eastAsia="Times New Roman"/>
          <w:lang w:eastAsia="hr-HR"/>
        </w:rPr>
        <w:t xml:space="preserve"> prethodne</w:t>
      </w:r>
      <w:r w:rsidRPr="000169AD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</w:t>
      </w:r>
      <w:r w:rsidR="00FE33C8">
        <w:rPr>
          <w:rFonts w:eastAsia="Times New Roman"/>
          <w:lang w:eastAsia="hr-HR"/>
        </w:rPr>
        <w:t>smanjenje od 33,44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38BD65E3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9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FE33C8">
        <w:rPr>
          <w:rFonts w:eastAsia="Times New Roman"/>
          <w:lang w:eastAsia="hr-HR"/>
        </w:rPr>
        <w:t>135.793,42</w:t>
      </w:r>
      <w:r w:rsidR="00236399" w:rsidRPr="00236399">
        <w:rPr>
          <w:rFonts w:eastAsia="Times New Roman"/>
          <w:lang w:eastAsia="hr-HR"/>
        </w:rPr>
        <w:t xml:space="preserve"> eura što u odnosu na tekući plan za 202</w:t>
      </w:r>
      <w:r w:rsidR="00CD044F">
        <w:rPr>
          <w:rFonts w:eastAsia="Times New Roman"/>
          <w:lang w:eastAsia="hr-HR"/>
        </w:rPr>
        <w:t>5</w:t>
      </w:r>
      <w:r w:rsidR="00236399" w:rsidRPr="00236399">
        <w:rPr>
          <w:rFonts w:eastAsia="Times New Roman"/>
          <w:lang w:eastAsia="hr-HR"/>
        </w:rPr>
        <w:t xml:space="preserve">. godinu predstavlja izvršenje od </w:t>
      </w:r>
      <w:r w:rsidR="00FE33C8">
        <w:rPr>
          <w:rFonts w:eastAsia="Times New Roman"/>
          <w:lang w:eastAsia="hr-HR"/>
        </w:rPr>
        <w:t>16,93</w:t>
      </w:r>
      <w:r w:rsidR="00236399" w:rsidRPr="00236399">
        <w:rPr>
          <w:rFonts w:eastAsia="Times New Roman"/>
          <w:lang w:eastAsia="hr-HR"/>
        </w:rPr>
        <w:t>%. U odnosu na isto razdoblje</w:t>
      </w:r>
      <w:r w:rsidR="00CD044F">
        <w:rPr>
          <w:rFonts w:eastAsia="Times New Roman"/>
          <w:lang w:eastAsia="hr-HR"/>
        </w:rPr>
        <w:t xml:space="preserve"> prethodne</w:t>
      </w:r>
      <w:r w:rsidR="00236399" w:rsidRPr="00236399">
        <w:rPr>
          <w:rFonts w:eastAsia="Times New Roman"/>
          <w:lang w:eastAsia="hr-HR"/>
        </w:rPr>
        <w:t xml:space="preserve"> godine ukupni prihodi bilježe </w:t>
      </w:r>
      <w:r w:rsidR="00FE33C8">
        <w:rPr>
          <w:rFonts w:eastAsia="Times New Roman"/>
          <w:lang w:eastAsia="hr-HR"/>
        </w:rPr>
        <w:t>smanjenje za 30,63</w:t>
      </w:r>
      <w:r w:rsidR="00236399" w:rsidRPr="00236399">
        <w:rPr>
          <w:rFonts w:eastAsia="Times New Roman"/>
          <w:lang w:eastAsia="hr-HR"/>
        </w:rPr>
        <w:t>%.</w:t>
      </w:r>
    </w:p>
    <w:bookmarkEnd w:id="9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12B9B672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  <w:r w:rsidR="00FE33C8">
        <w:rPr>
          <w:rFonts w:eastAsia="Times New Roman"/>
          <w:i/>
          <w:iCs/>
          <w:sz w:val="20"/>
          <w:szCs w:val="20"/>
          <w:lang w:eastAsia="hr-HR"/>
        </w:rPr>
        <w:t>, ostale pristojbe i naknade</w:t>
      </w:r>
    </w:p>
    <w:p w14:paraId="78B8AF62" w14:textId="68C967A3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ostvareni</w:t>
      </w:r>
      <w:r w:rsidR="00CD044F">
        <w:rPr>
          <w:rFonts w:eastAsia="Times New Roman"/>
          <w:lang w:eastAsia="hr-HR"/>
        </w:rPr>
        <w:t xml:space="preserve"> su u iznosu od </w:t>
      </w:r>
      <w:r w:rsidR="00FE33C8">
        <w:rPr>
          <w:rFonts w:eastAsia="Times New Roman"/>
          <w:lang w:eastAsia="hr-HR"/>
        </w:rPr>
        <w:t>13.911,94</w:t>
      </w:r>
      <w:r w:rsidR="00CD044F">
        <w:rPr>
          <w:rFonts w:eastAsia="Times New Roman"/>
          <w:lang w:eastAsia="hr-HR"/>
        </w:rPr>
        <w:t xml:space="preserve"> eura</w:t>
      </w:r>
      <w:r w:rsidR="00FE33C8">
        <w:rPr>
          <w:rFonts w:eastAsia="Times New Roman"/>
          <w:lang w:eastAsia="hr-HR"/>
        </w:rPr>
        <w:t>. U odnosu na isto razdoblje prethodne godine bilježe povećanje za 9,18%</w:t>
      </w:r>
      <w:r w:rsidR="00CD044F">
        <w:rPr>
          <w:rFonts w:eastAsia="Times New Roman"/>
          <w:lang w:eastAsia="hr-HR"/>
        </w:rPr>
        <w:t>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2530BFD0" w:rsidR="00120167" w:rsidRDefault="00A0173B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10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FE33C8">
        <w:rPr>
          <w:rFonts w:eastAsia="Times New Roman"/>
          <w:lang w:eastAsia="hr-HR"/>
        </w:rPr>
        <w:t>542,64</w:t>
      </w:r>
      <w:r w:rsidRPr="00236399">
        <w:rPr>
          <w:rFonts w:eastAsia="Times New Roman"/>
          <w:lang w:eastAsia="hr-HR"/>
        </w:rPr>
        <w:t xml:space="preserve"> eura</w:t>
      </w:r>
      <w:r w:rsidR="00C757FA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</w:t>
      </w:r>
      <w:r w:rsidR="00C757FA">
        <w:rPr>
          <w:rFonts w:eastAsia="Times New Roman"/>
          <w:lang w:eastAsia="hr-HR"/>
        </w:rPr>
        <w:t xml:space="preserve"> prethodne</w:t>
      </w:r>
      <w:r w:rsidRPr="00236399">
        <w:rPr>
          <w:rFonts w:eastAsia="Times New Roman"/>
          <w:lang w:eastAsia="hr-HR"/>
        </w:rPr>
        <w:t xml:space="preserve"> godine ukupni prihodi </w:t>
      </w:r>
      <w:r w:rsidR="00F75891">
        <w:rPr>
          <w:rFonts w:eastAsia="Times New Roman"/>
          <w:lang w:eastAsia="hr-HR"/>
        </w:rPr>
        <w:t>po posebnim propisima</w:t>
      </w:r>
      <w:r w:rsidRPr="00236399">
        <w:rPr>
          <w:rFonts w:eastAsia="Times New Roman"/>
          <w:lang w:eastAsia="hr-HR"/>
        </w:rPr>
        <w:t xml:space="preserve"> bilježe povećanje za </w:t>
      </w:r>
      <w:r w:rsidR="00FE33C8">
        <w:rPr>
          <w:rFonts w:eastAsia="Times New Roman"/>
          <w:lang w:eastAsia="hr-HR"/>
        </w:rPr>
        <w:t>12,33</w:t>
      </w:r>
      <w:r w:rsidRPr="00236399">
        <w:rPr>
          <w:rFonts w:eastAsia="Times New Roman"/>
          <w:lang w:eastAsia="hr-HR"/>
        </w:rPr>
        <w:t>%.</w:t>
      </w:r>
      <w:bookmarkEnd w:id="10"/>
    </w:p>
    <w:p w14:paraId="6A6C2D9B" w14:textId="77777777" w:rsidR="00BC3A05" w:rsidRPr="00BC3A05" w:rsidRDefault="00BC3A05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22261C70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FE33C8">
        <w:rPr>
          <w:rFonts w:eastAsia="Times New Roman"/>
          <w:lang w:eastAsia="hr-HR"/>
        </w:rPr>
        <w:t>121.338,84</w:t>
      </w:r>
      <w:r w:rsidRPr="00236399">
        <w:rPr>
          <w:rFonts w:eastAsia="Times New Roman"/>
          <w:lang w:eastAsia="hr-HR"/>
        </w:rPr>
        <w:t xml:space="preserve"> eura</w:t>
      </w:r>
      <w:r w:rsidR="00F75891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 xml:space="preserve">U odnosu na isto razdoblje </w:t>
      </w:r>
      <w:r w:rsidR="00F75891">
        <w:rPr>
          <w:rFonts w:eastAsia="Times New Roman"/>
          <w:lang w:eastAsia="hr-HR"/>
        </w:rPr>
        <w:t xml:space="preserve">prethodne </w:t>
      </w:r>
      <w:r w:rsidRPr="00236399">
        <w:rPr>
          <w:rFonts w:eastAsia="Times New Roman"/>
          <w:lang w:eastAsia="hr-HR"/>
        </w:rPr>
        <w:t xml:space="preserve"> godine ukupni prihodi bilježe </w:t>
      </w:r>
      <w:r w:rsidR="00FE33C8">
        <w:rPr>
          <w:rFonts w:eastAsia="Times New Roman"/>
          <w:lang w:eastAsia="hr-HR"/>
        </w:rPr>
        <w:t>smanjenje od</w:t>
      </w:r>
      <w:r w:rsidRPr="00236399">
        <w:rPr>
          <w:rFonts w:eastAsia="Times New Roman"/>
          <w:lang w:eastAsia="hr-HR"/>
        </w:rPr>
        <w:t xml:space="preserve"> </w:t>
      </w:r>
      <w:r w:rsidR="00FE33C8">
        <w:rPr>
          <w:rFonts w:eastAsia="Times New Roman"/>
          <w:lang w:eastAsia="hr-HR"/>
        </w:rPr>
        <w:t>33,53</w:t>
      </w:r>
      <w:r w:rsidRPr="00236399">
        <w:rPr>
          <w:rFonts w:eastAsia="Times New Roman"/>
          <w:lang w:eastAsia="hr-HR"/>
        </w:rPr>
        <w:t>%.</w:t>
      </w:r>
    </w:p>
    <w:p w14:paraId="2E189226" w14:textId="6A7D507C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FE33C8">
        <w:rPr>
          <w:rFonts w:eastAsia="Times New Roman"/>
          <w:lang w:eastAsia="hr-HR"/>
        </w:rPr>
        <w:t>46.428,78</w:t>
      </w:r>
      <w:r w:rsidR="00843851" w:rsidRPr="00843851">
        <w:rPr>
          <w:rFonts w:eastAsia="Times New Roman"/>
          <w:lang w:eastAsia="hr-HR"/>
        </w:rPr>
        <w:t xml:space="preserve"> eura što u odnosu na tekući plan za 202</w:t>
      </w:r>
      <w:r w:rsidR="00AA3824">
        <w:rPr>
          <w:rFonts w:eastAsia="Times New Roman"/>
          <w:lang w:eastAsia="hr-HR"/>
        </w:rPr>
        <w:t>5</w:t>
      </w:r>
      <w:r w:rsidR="00843851" w:rsidRPr="00843851">
        <w:rPr>
          <w:rFonts w:eastAsia="Times New Roman"/>
          <w:lang w:eastAsia="hr-HR"/>
        </w:rPr>
        <w:t xml:space="preserve">. godinu predstavlja izvršenje od </w:t>
      </w:r>
      <w:r w:rsidR="00FE33C8">
        <w:rPr>
          <w:rFonts w:eastAsia="Times New Roman"/>
          <w:lang w:eastAsia="hr-HR"/>
        </w:rPr>
        <w:t>4</w:t>
      </w:r>
      <w:r w:rsidR="00843851" w:rsidRPr="00843851">
        <w:rPr>
          <w:rFonts w:eastAsia="Times New Roman"/>
          <w:lang w:eastAsia="hr-HR"/>
        </w:rPr>
        <w:t>%. 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="00843851" w:rsidRPr="00843851">
        <w:rPr>
          <w:rFonts w:eastAsia="Times New Roman"/>
          <w:lang w:eastAsia="hr-HR"/>
        </w:rPr>
        <w:t xml:space="preserve"> godine ukupni prihodi od bilježe </w:t>
      </w:r>
      <w:r w:rsidR="00AA3824">
        <w:rPr>
          <w:rFonts w:eastAsia="Times New Roman"/>
          <w:lang w:eastAsia="hr-HR"/>
        </w:rPr>
        <w:t>povećanje</w:t>
      </w:r>
      <w:r w:rsidR="00843851" w:rsidRPr="00843851">
        <w:rPr>
          <w:rFonts w:eastAsia="Times New Roman"/>
          <w:lang w:eastAsia="hr-HR"/>
        </w:rPr>
        <w:t xml:space="preserve"> za </w:t>
      </w:r>
      <w:r w:rsidR="00FE33C8">
        <w:rPr>
          <w:rFonts w:eastAsia="Times New Roman"/>
          <w:lang w:eastAsia="hr-HR"/>
        </w:rPr>
        <w:t>16,22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485839B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</w:t>
      </w:r>
    </w:p>
    <w:p w14:paraId="0490C304" w14:textId="1DFE99A8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FE33C8">
        <w:rPr>
          <w:rFonts w:eastAsia="Times New Roman"/>
          <w:lang w:eastAsia="hr-HR"/>
        </w:rPr>
        <w:t>46.428,78</w:t>
      </w:r>
      <w:r w:rsidRPr="00843851">
        <w:rPr>
          <w:rFonts w:eastAsia="Times New Roman"/>
          <w:lang w:eastAsia="hr-HR"/>
        </w:rPr>
        <w:t xml:space="preserve"> eura</w:t>
      </w:r>
      <w:r w:rsidR="00AA3824">
        <w:rPr>
          <w:rFonts w:eastAsia="Times New Roman"/>
          <w:lang w:eastAsia="hr-HR"/>
        </w:rPr>
        <w:t xml:space="preserve">. </w:t>
      </w:r>
      <w:r w:rsidRPr="00843851">
        <w:rPr>
          <w:rFonts w:eastAsia="Times New Roman"/>
          <w:lang w:eastAsia="hr-HR"/>
        </w:rPr>
        <w:t>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Pr="00843851">
        <w:rPr>
          <w:rFonts w:eastAsia="Times New Roman"/>
          <w:lang w:eastAsia="hr-HR"/>
        </w:rPr>
        <w:t xml:space="preserve"> godine ukupni prihodi bilježe </w:t>
      </w:r>
      <w:r w:rsidR="00AA3824">
        <w:rPr>
          <w:rFonts w:eastAsia="Times New Roman"/>
          <w:lang w:eastAsia="hr-HR"/>
        </w:rPr>
        <w:t>povećanje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FE33C8">
        <w:rPr>
          <w:rFonts w:eastAsia="Times New Roman"/>
          <w:lang w:eastAsia="hr-HR"/>
        </w:rPr>
        <w:t>116,22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5B9A053E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</w:t>
      </w:r>
      <w:bookmarkStart w:id="11" w:name="_Hlk179549060"/>
      <w:r w:rsidR="008E55A9">
        <w:rPr>
          <w:rFonts w:eastAsia="Times New Roman"/>
          <w:lang w:eastAsia="hr-HR"/>
        </w:rPr>
        <w:t>ostvareni</w:t>
      </w:r>
      <w:r w:rsidR="00FE33C8">
        <w:rPr>
          <w:rFonts w:eastAsia="Times New Roman"/>
          <w:lang w:eastAsia="hr-HR"/>
        </w:rPr>
        <w:t xml:space="preserve"> ukupni prihodi iznose 39.279,60 eur što u odnosu na tekući plan za 2025. godinu iznosi 4,17%. U odnosu na isto razdoblje prethodne godine ukupni prihodi bilježe povećanje za 114,44%</w:t>
      </w:r>
    </w:p>
    <w:bookmarkEnd w:id="11"/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200D53BE" w14:textId="0063B125" w:rsidR="00F209B8" w:rsidRPr="009A3165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 xml:space="preserve">- Prihodi od prodaje neproizvedene </w:t>
      </w:r>
      <w:r w:rsidR="009C31F1">
        <w:rPr>
          <w:rFonts w:eastAsia="Times New Roman"/>
          <w:b/>
          <w:bCs/>
          <w:lang w:eastAsia="hr-HR"/>
        </w:rPr>
        <w:t xml:space="preserve">dugotrajne </w:t>
      </w:r>
      <w:r w:rsidR="0003466C" w:rsidRPr="0003466C">
        <w:rPr>
          <w:rFonts w:eastAsia="Times New Roman"/>
          <w:b/>
          <w:bCs/>
          <w:lang w:eastAsia="hr-HR"/>
        </w:rPr>
        <w:t>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 w:rsidR="009A3165" w:rsidRPr="009A3165">
        <w:rPr>
          <w:rFonts w:eastAsia="Times New Roman"/>
          <w:lang w:eastAsia="hr-HR"/>
        </w:rPr>
        <w:t xml:space="preserve">U izvještajnom razdoblju </w:t>
      </w:r>
      <w:r w:rsidR="009C31F1">
        <w:rPr>
          <w:rFonts w:eastAsia="Times New Roman"/>
          <w:lang w:eastAsia="hr-HR"/>
        </w:rPr>
        <w:t>ostvareni su u iznosu od 18.278,60što je za 1551,18% više u odnosu na isto razdoblje prethodne godine.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3586A8ED" w14:textId="77777777" w:rsidR="009C31F1" w:rsidRPr="009A3165" w:rsidRDefault="00F209B8" w:rsidP="009C31F1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9C31F1" w:rsidRPr="009A3165">
        <w:rPr>
          <w:rFonts w:eastAsia="Times New Roman"/>
          <w:lang w:eastAsia="hr-HR"/>
        </w:rPr>
        <w:t xml:space="preserve">U izvještajnom razdoblju </w:t>
      </w:r>
      <w:r w:rsidR="009C31F1">
        <w:rPr>
          <w:rFonts w:eastAsia="Times New Roman"/>
          <w:lang w:eastAsia="hr-HR"/>
        </w:rPr>
        <w:t>ostvareni su u iznosu od 18.278,60što je za 1551,18% više u odnosu na isto razdoblje prethodne godine.</w:t>
      </w:r>
    </w:p>
    <w:p w14:paraId="64E7EF08" w14:textId="0A0B599D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48DC551" w14:textId="51CBD595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>: u izvještajnom razdoblju ostvareni</w:t>
      </w:r>
      <w:r w:rsidR="009C31F1">
        <w:rPr>
          <w:rFonts w:eastAsia="Times New Roman"/>
          <w:lang w:eastAsia="hr-HR"/>
        </w:rPr>
        <w:t xml:space="preserve"> su u iznosu od 21.001,00 eur što je u odnosu na tekući plan za 2025. izvršenje od 11,08% a u odnosu na isto razdoblje prethodne godine povećanje od 22,03%</w:t>
      </w:r>
    </w:p>
    <w:p w14:paraId="239F03D2" w14:textId="2817F3C3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Prihodi od prodaje </w:t>
      </w:r>
      <w:r w:rsidR="009C31F1">
        <w:rPr>
          <w:rFonts w:eastAsia="Times New Roman"/>
          <w:i/>
          <w:iCs/>
          <w:sz w:val="20"/>
          <w:szCs w:val="20"/>
          <w:lang w:eastAsia="hr-HR"/>
        </w:rPr>
        <w:t>stambenih objekata</w:t>
      </w:r>
    </w:p>
    <w:p w14:paraId="4AA7C196" w14:textId="0CF5F0BF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  <w:t>U izvještajnom razdoblju nisu ostvareni</w:t>
      </w:r>
      <w:r w:rsidR="009C31F1">
        <w:rPr>
          <w:rFonts w:eastAsia="Times New Roman"/>
          <w:lang w:eastAsia="hr-HR"/>
        </w:rPr>
        <w:t xml:space="preserve"> u iznosu od 21.001,00 eur.</w:t>
      </w:r>
    </w:p>
    <w:p w14:paraId="29A0B250" w14:textId="508B0CD9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9C31F1">
        <w:rPr>
          <w:rFonts w:eastAsia="Times New Roman"/>
          <w:lang w:eastAsia="hr-HR"/>
        </w:rPr>
        <w:t>1.003.964,96</w:t>
      </w:r>
      <w:r w:rsidRPr="002B18FF">
        <w:rPr>
          <w:rFonts w:eastAsia="Times New Roman"/>
          <w:lang w:eastAsia="hr-HR"/>
        </w:rPr>
        <w:t xml:space="preserve"> eura što u odnosu na tekući plan predstavlja izvršenje od </w:t>
      </w:r>
      <w:r w:rsidR="009C31F1">
        <w:rPr>
          <w:rFonts w:eastAsia="Times New Roman"/>
          <w:lang w:eastAsia="hr-HR"/>
        </w:rPr>
        <w:t>29,30</w:t>
      </w:r>
      <w:r w:rsidRPr="002B18F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 </w:t>
      </w:r>
      <w:r w:rsidRPr="002B18F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</w:t>
      </w:r>
      <w:r w:rsidR="009C31F1">
        <w:rPr>
          <w:rFonts w:eastAsia="Times New Roman"/>
          <w:lang w:eastAsia="hr-HR"/>
        </w:rPr>
        <w:t xml:space="preserve">povećanje </w:t>
      </w:r>
      <w:r w:rsidRPr="002B18FF">
        <w:rPr>
          <w:rFonts w:eastAsia="Times New Roman"/>
          <w:lang w:eastAsia="hr-HR"/>
        </w:rPr>
        <w:t xml:space="preserve">od </w:t>
      </w:r>
      <w:r w:rsidR="009C31F1">
        <w:rPr>
          <w:rFonts w:eastAsia="Times New Roman"/>
          <w:lang w:eastAsia="hr-HR"/>
        </w:rPr>
        <w:t>29,66</w:t>
      </w:r>
      <w:r w:rsidRPr="002B18FF">
        <w:rPr>
          <w:rFonts w:eastAsia="Times New Roman"/>
          <w:lang w:eastAsia="hr-HR"/>
        </w:rPr>
        <w:t>%.</w:t>
      </w:r>
    </w:p>
    <w:p w14:paraId="6FDD725C" w14:textId="4B07BDB1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9C31F1">
        <w:rPr>
          <w:rFonts w:eastAsia="Times New Roman"/>
          <w:lang w:eastAsia="hr-HR"/>
        </w:rPr>
        <w:t>155.723,42</w:t>
      </w:r>
      <w:r w:rsidRPr="0071145F">
        <w:rPr>
          <w:rFonts w:eastAsia="Times New Roman"/>
          <w:lang w:eastAsia="hr-HR"/>
        </w:rPr>
        <w:t xml:space="preserve"> eura što u odnosu na tekući plan predstavlja izvršenje od </w:t>
      </w:r>
      <w:r w:rsidR="009C31F1">
        <w:rPr>
          <w:rFonts w:eastAsia="Times New Roman"/>
          <w:lang w:eastAsia="hr-HR"/>
        </w:rPr>
        <w:t>46,46</w:t>
      </w:r>
      <w:r w:rsidRPr="0071145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</w:t>
      </w:r>
      <w:r w:rsidRPr="0071145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9C31F1">
        <w:rPr>
          <w:rFonts w:eastAsia="Times New Roman"/>
          <w:lang w:eastAsia="hr-HR"/>
        </w:rPr>
        <w:t>80,34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216870DA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9C31F1">
        <w:rPr>
          <w:rFonts w:eastAsia="Times New Roman"/>
          <w:lang w:eastAsia="hr-HR"/>
        </w:rPr>
        <w:t>369.140,22</w:t>
      </w:r>
      <w:r w:rsidRPr="00A34712">
        <w:rPr>
          <w:rFonts w:eastAsia="Times New Roman"/>
          <w:lang w:eastAsia="hr-HR"/>
        </w:rPr>
        <w:t xml:space="preserve"> eura što u odnosu na tekući plan predstavlja izvršenje od </w:t>
      </w:r>
      <w:r w:rsidR="009C31F1">
        <w:rPr>
          <w:rFonts w:eastAsia="Times New Roman"/>
          <w:lang w:eastAsia="hr-HR"/>
        </w:rPr>
        <w:t>28,46</w:t>
      </w:r>
      <w:r w:rsidRPr="00A34712">
        <w:rPr>
          <w:rFonts w:eastAsia="Times New Roman"/>
          <w:lang w:eastAsia="hr-HR"/>
        </w:rPr>
        <w:t>%. U odnosu na isto razdoblje</w:t>
      </w:r>
      <w:r w:rsidR="00D26B47">
        <w:rPr>
          <w:rFonts w:eastAsia="Times New Roman"/>
          <w:lang w:eastAsia="hr-HR"/>
        </w:rPr>
        <w:t xml:space="preserve"> prethodne</w:t>
      </w:r>
      <w:r w:rsidRPr="00A34712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9C31F1">
        <w:rPr>
          <w:rFonts w:eastAsia="Times New Roman"/>
          <w:lang w:eastAsia="hr-HR"/>
        </w:rPr>
        <w:t>2,64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>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11E6820F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9C31F1">
        <w:t>1.399,24</w:t>
      </w:r>
      <w:r>
        <w:t xml:space="preserve"> </w:t>
      </w:r>
      <w:r w:rsidRPr="00E07C97">
        <w:t xml:space="preserve">eura što u odnosu na tekući plan predstavlja izvršenje od </w:t>
      </w:r>
      <w:r w:rsidR="009C31F1">
        <w:t>18,05</w:t>
      </w:r>
      <w:r w:rsidRPr="00E07C97">
        <w:t>%. U odnosu na isto razdoblje</w:t>
      </w:r>
      <w:r w:rsidR="00D26B47">
        <w:t xml:space="preserve"> prethodne</w:t>
      </w:r>
      <w:r w:rsidRPr="00E07C97">
        <w:t xml:space="preserve"> godine ukupni </w:t>
      </w:r>
      <w:r w:rsidR="00FE4CDD">
        <w:t>financijski rashodi</w:t>
      </w:r>
      <w:r w:rsidRPr="00E07C97">
        <w:t xml:space="preserve"> bilježe </w:t>
      </w:r>
      <w:r>
        <w:t xml:space="preserve">smanjenje za </w:t>
      </w:r>
      <w:r w:rsidR="00F44722">
        <w:t>20,77</w:t>
      </w:r>
      <w:r w:rsidRPr="00E07C97">
        <w:t>%.</w:t>
      </w:r>
    </w:p>
    <w:p w14:paraId="21F59ED8" w14:textId="10567C0C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 xml:space="preserve">kamate za primljene kredite </w:t>
      </w:r>
      <w:r w:rsidR="00FE4CDD">
        <w:t xml:space="preserve">i </w:t>
      </w:r>
      <w:r w:rsidRPr="00FE4CDD">
        <w:t>usluge banaka.</w:t>
      </w:r>
    </w:p>
    <w:p w14:paraId="7EC4FB85" w14:textId="40F9343D" w:rsidR="00020DA8" w:rsidRPr="00020DA8" w:rsidRDefault="00411483" w:rsidP="001519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 xml:space="preserve">u izvještajnom razdoblju </w:t>
      </w:r>
      <w:r w:rsidR="00F44722">
        <w:t>bilježi se ostvarenje u iznosu od 90.790,20 eura što u odnosu na plan za 2025. iznosi izvršenje od 50%, a u odnosu na isto razdoblje prethodne godine povećanje od 49,18%.</w:t>
      </w:r>
    </w:p>
    <w:p w14:paraId="1AE23423" w14:textId="63731EC6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F44722">
        <w:t>117.257,80</w:t>
      </w:r>
      <w:r w:rsidRPr="004517C6">
        <w:t xml:space="preserve"> eura što u odnosu na tekući plan predstavlja izvršenje od </w:t>
      </w:r>
      <w:r w:rsidR="00F44722">
        <w:t>43,14</w:t>
      </w:r>
      <w:r w:rsidRPr="004517C6">
        <w:t>%. U odnosu na isto razdoblje</w:t>
      </w:r>
      <w:r w:rsidR="008A1FC8">
        <w:t xml:space="preserve"> prethodne</w:t>
      </w:r>
      <w:r w:rsidRPr="004517C6">
        <w:t xml:space="preserve"> godine ukupn</w:t>
      </w:r>
      <w:r w:rsidR="008A1FC8">
        <w:t xml:space="preserve">e pomoći </w:t>
      </w:r>
      <w:r w:rsidRPr="004517C6">
        <w:t xml:space="preserve">bilježe </w:t>
      </w:r>
      <w:r w:rsidR="00172BD3">
        <w:t>povećanje</w:t>
      </w:r>
      <w:r w:rsidRPr="004517C6">
        <w:t xml:space="preserve"> za </w:t>
      </w:r>
      <w:r w:rsidR="00F44722">
        <w:t>27,48</w:t>
      </w:r>
      <w:r w:rsidRPr="004517C6">
        <w:t>%.</w:t>
      </w:r>
    </w:p>
    <w:p w14:paraId="2726C4A3" w14:textId="37C355EF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</w:t>
      </w:r>
      <w:r w:rsidR="00F44722">
        <w:t xml:space="preserve">sufinanciranje zatvorenog odlagališta otpada Osojnica, sufinanciranje rada JVP Opatija, pomoći Gradskoj knjižnici i čitaonici Viktor Car Emin podružnica Mošćenička Draga, sufinanciranje Doma zdravlja za rad ambulante opće medicine te za program posebnog dežurstva,  </w:t>
      </w:r>
      <w:r w:rsidR="00FE4CDD">
        <w:t xml:space="preserve">Osnovna škola </w:t>
      </w:r>
      <w:r w:rsidR="00F44722">
        <w:t>Viktor Car Emin Područna škola Eugen Kumičić</w:t>
      </w:r>
      <w:r w:rsidR="00FE4CDD">
        <w:t>- financiranje programa produženog boravka</w:t>
      </w:r>
      <w:r w:rsidR="005B1415">
        <w:t>,</w:t>
      </w:r>
      <w:r w:rsidR="00F44722">
        <w:t xml:space="preserve"> marendi i posebnih programa, Javna ustanova Park prirode Učka).</w:t>
      </w:r>
    </w:p>
    <w:p w14:paraId="5DA5214A" w14:textId="0D3641F0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F44722">
        <w:t>162.921,41</w:t>
      </w:r>
      <w:r w:rsidRPr="004F3FBA">
        <w:t xml:space="preserve"> eura što u odnosu na tekući plan predstavlja </w:t>
      </w:r>
      <w:r w:rsidRPr="004F3FBA">
        <w:lastRenderedPageBreak/>
        <w:t xml:space="preserve">izvršenje od </w:t>
      </w:r>
      <w:r w:rsidR="00F44722">
        <w:t>46,24</w:t>
      </w:r>
      <w:r w:rsidRPr="004F3FBA">
        <w:t>%. U odnosu na isto razdoblje</w:t>
      </w:r>
      <w:r w:rsidR="0091372D">
        <w:t xml:space="preserve"> prethodne</w:t>
      </w:r>
      <w:r w:rsidRPr="004F3FBA">
        <w:t xml:space="preserve"> godine ukupni </w:t>
      </w:r>
      <w:r w:rsidR="00CD74CA">
        <w:t>rashodi za naknade</w:t>
      </w:r>
      <w:r w:rsidRPr="004F3FBA">
        <w:t xml:space="preserve"> bilježe </w:t>
      </w:r>
      <w:r w:rsidR="00020DA8">
        <w:t>povećanje</w:t>
      </w:r>
      <w:r w:rsidRPr="004F3FBA">
        <w:t xml:space="preserve"> za </w:t>
      </w:r>
      <w:r w:rsidR="00F44722">
        <w:t>62,79</w:t>
      </w:r>
      <w:r w:rsidRPr="004F3FBA">
        <w:t>%.</w:t>
      </w:r>
    </w:p>
    <w:p w14:paraId="7427788F" w14:textId="60AE14B9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učenicima, sufinanciranje programa „</w:t>
      </w:r>
      <w:r w:rsidR="00F44722">
        <w:t>Prvi koraci u prometu</w:t>
      </w:r>
      <w:r w:rsidR="00CD74CA">
        <w:t>“</w:t>
      </w:r>
      <w:r w:rsidR="001148E7">
        <w:t>, sufinanciranje programa „Program u kući“, sufinanciranje dječjeg vrtića, financiranje rada asistenta u dječjem vrtiću, financiranje logopeda za vrtić i osnovnu školu).</w:t>
      </w:r>
    </w:p>
    <w:p w14:paraId="30FCC583" w14:textId="50590539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 xml:space="preserve">38 – </w:t>
      </w:r>
      <w:r w:rsidR="001148E7">
        <w:rPr>
          <w:b/>
          <w:bCs/>
        </w:rPr>
        <w:t>Rashodi za donacije, kazne, naknade šteta i kapitalne pomoći</w:t>
      </w:r>
      <w:r w:rsidRPr="004878E4">
        <w:rPr>
          <w:b/>
          <w:bCs/>
        </w:rPr>
        <w:t>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1148E7">
        <w:t>106.732,67</w:t>
      </w:r>
      <w:r w:rsidRPr="00B83FB7">
        <w:t xml:space="preserve"> eura što u odnosu na tekući plan predstavlja izvršenje od </w:t>
      </w:r>
      <w:r w:rsidR="001148E7">
        <w:t>10,88</w:t>
      </w:r>
      <w:r w:rsidRPr="00B83FB7">
        <w:t xml:space="preserve">%. U odnosu na isto razdoblje </w:t>
      </w:r>
      <w:r w:rsidR="00D97EC8">
        <w:t>prethodne</w:t>
      </w:r>
      <w:r w:rsidRPr="00B83FB7">
        <w:t xml:space="preserve"> godine ukupni </w:t>
      </w:r>
      <w:r w:rsidR="00CA4EF8">
        <w:t>ostali rashodi</w:t>
      </w:r>
      <w:r w:rsidRPr="00B83FB7">
        <w:t xml:space="preserve"> bilježe </w:t>
      </w:r>
      <w:r w:rsidR="001148E7">
        <w:t>povećanje</w:t>
      </w:r>
      <w:r w:rsidRPr="00B83FB7">
        <w:t xml:space="preserve"> za </w:t>
      </w:r>
      <w:r w:rsidR="001148E7">
        <w:t>44,94</w:t>
      </w:r>
      <w:r w:rsidRPr="00B83FB7">
        <w:t>%.</w:t>
      </w:r>
    </w:p>
    <w:p w14:paraId="0CF122EF" w14:textId="4A6A0A00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1148E7">
        <w:t xml:space="preserve">tekuće pomoći udrugama, sufinanciranje rada Crvenog križa, sufinanciranje rada Područne vatrogasne zajednice Liburnija, HGSS, </w:t>
      </w:r>
      <w:r w:rsidR="007111D8" w:rsidRPr="007111D8">
        <w:t>financiranje rada političkih stranaka</w:t>
      </w:r>
      <w:r w:rsidR="007111D8">
        <w:t xml:space="preserve"> zastupljenih u Općinskom vijeću Općine </w:t>
      </w:r>
      <w:r w:rsidR="001148E7">
        <w:t>Mošćenička Draga</w:t>
      </w:r>
      <w:r w:rsidR="007111D8">
        <w:t>,</w:t>
      </w:r>
      <w:r w:rsidR="001148E7">
        <w:t xml:space="preserve"> tekuće pomoći Turističkoj Zajednici Općine Mošćenička Draga, kapitalne pomoći</w:t>
      </w:r>
      <w:r w:rsidR="007111D8">
        <w:t xml:space="preserve"> </w:t>
      </w:r>
      <w:r w:rsidR="001148E7">
        <w:t>obnove kulturnih i vjerskih spomenika.</w:t>
      </w:r>
    </w:p>
    <w:p w14:paraId="3E16F220" w14:textId="249861DC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1148E7">
        <w:t>510.717,39</w:t>
      </w:r>
      <w:r w:rsidRPr="004878E4">
        <w:t xml:space="preserve"> eura što u odnosu na tekući plan predstavlja izvršenje od </w:t>
      </w:r>
      <w:r w:rsidR="001148E7">
        <w:t>13,19</w:t>
      </w:r>
      <w:r w:rsidRPr="004878E4">
        <w:t>%. U odnosu na isto razdoblje</w:t>
      </w:r>
      <w:r w:rsidR="00E07370">
        <w:t xml:space="preserve"> prethodne</w:t>
      </w:r>
      <w:r w:rsidRPr="004878E4">
        <w:t xml:space="preserve"> godine ukupni </w:t>
      </w:r>
      <w:r w:rsidR="00CA4EF8">
        <w:t>rashodi za nabavu nefinancijske imovine</w:t>
      </w:r>
      <w:r w:rsidRPr="004878E4">
        <w:t xml:space="preserve"> bilježe </w:t>
      </w:r>
      <w:r w:rsidR="001148E7">
        <w:t>povećanje za 123,09</w:t>
      </w:r>
      <w:r w:rsidRPr="004878E4">
        <w:t>%.</w:t>
      </w:r>
    </w:p>
    <w:p w14:paraId="7CBF6DE6" w14:textId="4960EB80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>Rashodi za nabavu neproizvedene</w:t>
      </w:r>
      <w:r w:rsidR="001148E7">
        <w:rPr>
          <w:rFonts w:eastAsia="Times New Roman"/>
          <w:b/>
          <w:bCs/>
          <w:lang w:eastAsia="hr-HR"/>
        </w:rPr>
        <w:t xml:space="preserve"> dugotrajne</w:t>
      </w:r>
      <w:r w:rsidRPr="00CA4EF8">
        <w:rPr>
          <w:rFonts w:eastAsia="Times New Roman"/>
          <w:b/>
          <w:bCs/>
          <w:lang w:eastAsia="hr-HR"/>
        </w:rPr>
        <w:t xml:space="preserve">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</w:t>
      </w:r>
      <w:r w:rsidR="001148E7">
        <w:rPr>
          <w:rFonts w:eastAsia="Times New Roman"/>
          <w:lang w:eastAsia="hr-HR"/>
        </w:rPr>
        <w:t>ostvareni su u iznosu od 41.219,94 eur</w:t>
      </w:r>
      <w:r w:rsidR="00A36857">
        <w:rPr>
          <w:rFonts w:eastAsia="Times New Roman"/>
          <w:lang w:eastAsia="hr-HR"/>
        </w:rPr>
        <w:t xml:space="preserve"> i čine 9,79% plana te povećanje od 229,81% u odnosu na isto razdoblje 2024</w:t>
      </w:r>
      <w:r w:rsidR="00E07370">
        <w:rPr>
          <w:rFonts w:eastAsia="Times New Roman"/>
          <w:lang w:eastAsia="hr-HR"/>
        </w:rPr>
        <w:t>.</w:t>
      </w:r>
    </w:p>
    <w:p w14:paraId="56A5AE74" w14:textId="4F530793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2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A36857">
        <w:rPr>
          <w:rFonts w:eastAsia="Times New Roman"/>
          <w:lang w:eastAsia="hr-HR"/>
        </w:rPr>
        <w:t>247.990,12</w:t>
      </w:r>
      <w:r w:rsidR="00F728F7" w:rsidRPr="00F728F7">
        <w:rPr>
          <w:rFonts w:eastAsia="Times New Roman"/>
          <w:lang w:eastAsia="hr-HR"/>
        </w:rPr>
        <w:t xml:space="preserve"> eura što u odnosu na tekući plan predstavlja izvršenje od </w:t>
      </w:r>
      <w:r w:rsidR="00A36857">
        <w:rPr>
          <w:rFonts w:eastAsia="Times New Roman"/>
          <w:lang w:eastAsia="hr-HR"/>
        </w:rPr>
        <w:t>8,49</w:t>
      </w:r>
      <w:r w:rsidR="00F728F7" w:rsidRPr="00F728F7">
        <w:rPr>
          <w:rFonts w:eastAsia="Times New Roman"/>
          <w:lang w:eastAsia="hr-HR"/>
        </w:rPr>
        <w:t xml:space="preserve">%. U odnosu na isto razdoblje </w:t>
      </w:r>
      <w:r w:rsidR="00E07370">
        <w:rPr>
          <w:rFonts w:eastAsia="Times New Roman"/>
          <w:lang w:eastAsia="hr-HR"/>
        </w:rPr>
        <w:t>prethodne</w:t>
      </w:r>
      <w:r w:rsidR="00F728F7" w:rsidRPr="00F728F7">
        <w:rPr>
          <w:rFonts w:eastAsia="Times New Roman"/>
          <w:lang w:eastAsia="hr-HR"/>
        </w:rPr>
        <w:t xml:space="preserve">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</w:t>
      </w:r>
      <w:r w:rsidR="00A36857">
        <w:rPr>
          <w:rFonts w:eastAsia="Times New Roman"/>
          <w:lang w:eastAsia="hr-HR"/>
        </w:rPr>
        <w:t>povećanje od 61,11</w:t>
      </w:r>
      <w:r w:rsidR="00F728F7" w:rsidRPr="00F728F7">
        <w:rPr>
          <w:rFonts w:eastAsia="Times New Roman"/>
          <w:lang w:eastAsia="hr-HR"/>
        </w:rPr>
        <w:t>%.</w:t>
      </w:r>
      <w:bookmarkEnd w:id="12"/>
    </w:p>
    <w:p w14:paraId="09626029" w14:textId="71D5D8E1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347B82">
        <w:rPr>
          <w:rFonts w:eastAsia="Times New Roman"/>
          <w:lang w:eastAsia="hr-HR"/>
        </w:rPr>
        <w:t xml:space="preserve">u izvještajnom razdoblju </w:t>
      </w:r>
      <w:r w:rsidR="00E07370">
        <w:rPr>
          <w:rFonts w:eastAsia="Times New Roman"/>
          <w:lang w:eastAsia="hr-HR"/>
        </w:rPr>
        <w:t xml:space="preserve">ostvareni su u iznosu od </w:t>
      </w:r>
      <w:r w:rsidR="00A36857">
        <w:rPr>
          <w:rFonts w:eastAsia="Times New Roman"/>
          <w:lang w:eastAsia="hr-HR"/>
        </w:rPr>
        <w:t>221.507,33</w:t>
      </w:r>
      <w:r w:rsidR="00E07370">
        <w:rPr>
          <w:rFonts w:eastAsia="Times New Roman"/>
          <w:lang w:eastAsia="hr-HR"/>
        </w:rPr>
        <w:t xml:space="preserve"> eura</w:t>
      </w:r>
      <w:r w:rsidR="00A36857">
        <w:rPr>
          <w:rFonts w:eastAsia="Times New Roman"/>
          <w:lang w:eastAsia="hr-HR"/>
        </w:rPr>
        <w:t xml:space="preserve"> što čini 51,47% plana za 2025. a povećanje od 254,38% u odnosu na 2024.</w:t>
      </w:r>
      <w:r w:rsidR="00E07370">
        <w:rPr>
          <w:rFonts w:eastAsia="Times New Roman"/>
          <w:lang w:eastAsia="hr-HR"/>
        </w:rPr>
        <w:t xml:space="preserve"> </w:t>
      </w:r>
    </w:p>
    <w:p w14:paraId="35C4F003" w14:textId="77777777" w:rsidR="008428E5" w:rsidRDefault="008428E5" w:rsidP="00E21666">
      <w:pPr>
        <w:jc w:val="both"/>
        <w:rPr>
          <w:b/>
          <w:bCs/>
          <w:i/>
          <w:iCs/>
          <w:u w:val="single"/>
        </w:rPr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1D064DB6" w:rsidR="00C55332" w:rsidRDefault="00C55332" w:rsidP="004A1BA5">
      <w:pPr>
        <w:jc w:val="both"/>
      </w:pPr>
      <w:r>
        <w:t xml:space="preserve">Općina </w:t>
      </w:r>
      <w:r w:rsidR="00A36857">
        <w:t>Mošćenička Draga ne</w:t>
      </w:r>
      <w:r>
        <w:t xml:space="preserve"> posluj</w:t>
      </w:r>
      <w:r w:rsidR="00A36857">
        <w:t>e</w:t>
      </w:r>
      <w:r>
        <w:t xml:space="preserve"> preko sustava rizničnog poslovanja</w:t>
      </w:r>
      <w:r w:rsidR="00A36857">
        <w:t>.</w:t>
      </w:r>
    </w:p>
    <w:p w14:paraId="32DA6E2D" w14:textId="77777777" w:rsidR="00C55332" w:rsidRDefault="00C55332" w:rsidP="004A1BA5">
      <w:pPr>
        <w:jc w:val="both"/>
      </w:pPr>
    </w:p>
    <w:p w14:paraId="708844F9" w14:textId="135F7025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A36857">
        <w:t>1.148.333,87</w:t>
      </w:r>
      <w:r w:rsidR="008428E5">
        <w:t xml:space="preserve"> eura</w:t>
      </w:r>
    </w:p>
    <w:p w14:paraId="17FC3A53" w14:textId="6C774052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A36857">
        <w:t xml:space="preserve">    824.393,03</w:t>
      </w:r>
      <w:r w:rsidR="003352DF">
        <w:t xml:space="preserve"> eura</w:t>
      </w:r>
    </w:p>
    <w:p w14:paraId="0A69E5F1" w14:textId="15DFEE40" w:rsidR="00DE2F0A" w:rsidRDefault="00DE2F0A" w:rsidP="004A1B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4A2B683" w14:textId="77777777" w:rsidR="00C55332" w:rsidRDefault="00C55332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1544ED03" w14:textId="77777777" w:rsidR="00201CA1" w:rsidRDefault="00201CA1" w:rsidP="006B3AE0">
      <w:pPr>
        <w:jc w:val="both"/>
      </w:pPr>
    </w:p>
    <w:p w14:paraId="6E531995" w14:textId="1FD7E909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 xml:space="preserve">Prikaz ostvarenog </w:t>
      </w:r>
      <w:r w:rsidR="001C5AEB">
        <w:rPr>
          <w:b/>
          <w:bCs/>
          <w:sz w:val="28"/>
          <w:szCs w:val="28"/>
        </w:rPr>
        <w:t>manjka</w:t>
      </w:r>
      <w:r w:rsidRPr="00E35BE5">
        <w:rPr>
          <w:b/>
          <w:bCs/>
          <w:sz w:val="28"/>
          <w:szCs w:val="28"/>
        </w:rPr>
        <w:t xml:space="preserve"> proračuna u izvještajnom razdoblju</w:t>
      </w:r>
    </w:p>
    <w:p w14:paraId="556CDBBA" w14:textId="77777777" w:rsidR="00E35BE5" w:rsidRDefault="00E35BE5" w:rsidP="00E35BE5">
      <w:pPr>
        <w:jc w:val="both"/>
      </w:pPr>
    </w:p>
    <w:p w14:paraId="16C76D65" w14:textId="6B62C9FE" w:rsidR="001374FA" w:rsidRDefault="001C5AEB" w:rsidP="00F879CB">
      <w:pPr>
        <w:jc w:val="both"/>
      </w:pPr>
      <w:r>
        <w:t>Prikazani manjak nastao je zbog kasnijeg unosa Odluke o raspodjeli rezultata poslovanja iz 2024. godine. Spomenutom odlukom raspoređeno je ukupno 899.652,61 eur čime je podmiren manjak te ukupni višak za 2025. godinu za naredno razdoblje iznosi 572.086,84 eur.</w:t>
      </w: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2336" w14:textId="77777777" w:rsidR="004043C5" w:rsidRDefault="004043C5" w:rsidP="00EA7E99">
      <w:r>
        <w:separator/>
      </w:r>
    </w:p>
  </w:endnote>
  <w:endnote w:type="continuationSeparator" w:id="0">
    <w:p w14:paraId="258078FF" w14:textId="77777777" w:rsidR="004043C5" w:rsidRDefault="004043C5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C8AC" w14:textId="77777777" w:rsidR="004043C5" w:rsidRDefault="004043C5" w:rsidP="00EA7E99">
      <w:r>
        <w:separator/>
      </w:r>
    </w:p>
  </w:footnote>
  <w:footnote w:type="continuationSeparator" w:id="0">
    <w:p w14:paraId="12723908" w14:textId="77777777" w:rsidR="004043C5" w:rsidRDefault="004043C5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4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4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1"/>
  </w:num>
  <w:num w:numId="5" w16cid:durableId="439761038">
    <w:abstractNumId w:val="20"/>
  </w:num>
  <w:num w:numId="6" w16cid:durableId="655837911">
    <w:abstractNumId w:val="34"/>
  </w:num>
  <w:num w:numId="7" w16cid:durableId="1472987874">
    <w:abstractNumId w:val="39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4"/>
  </w:num>
  <w:num w:numId="19" w16cid:durableId="322782678">
    <w:abstractNumId w:val="28"/>
  </w:num>
  <w:num w:numId="20" w16cid:durableId="1834296643">
    <w:abstractNumId w:val="49"/>
  </w:num>
  <w:num w:numId="21" w16cid:durableId="1751347983">
    <w:abstractNumId w:val="37"/>
  </w:num>
  <w:num w:numId="22" w16cid:durableId="2060282841">
    <w:abstractNumId w:val="12"/>
  </w:num>
  <w:num w:numId="23" w16cid:durableId="2138713717">
    <w:abstractNumId w:val="55"/>
  </w:num>
  <w:num w:numId="24" w16cid:durableId="1613127457">
    <w:abstractNumId w:val="21"/>
  </w:num>
  <w:num w:numId="25" w16cid:durableId="346830594">
    <w:abstractNumId w:val="10"/>
  </w:num>
  <w:num w:numId="26" w16cid:durableId="1515998749">
    <w:abstractNumId w:val="53"/>
  </w:num>
  <w:num w:numId="27" w16cid:durableId="417755766">
    <w:abstractNumId w:val="32"/>
  </w:num>
  <w:num w:numId="28" w16cid:durableId="741685984">
    <w:abstractNumId w:val="29"/>
  </w:num>
  <w:num w:numId="29" w16cid:durableId="486284976">
    <w:abstractNumId w:val="25"/>
  </w:num>
  <w:num w:numId="30" w16cid:durableId="740101337">
    <w:abstractNumId w:val="42"/>
  </w:num>
  <w:num w:numId="31" w16cid:durableId="797988337">
    <w:abstractNumId w:val="17"/>
  </w:num>
  <w:num w:numId="32" w16cid:durableId="1847862798">
    <w:abstractNumId w:val="54"/>
  </w:num>
  <w:num w:numId="33" w16cid:durableId="526915018">
    <w:abstractNumId w:val="41"/>
  </w:num>
  <w:num w:numId="34" w16cid:durableId="653098247">
    <w:abstractNumId w:val="48"/>
  </w:num>
  <w:num w:numId="35" w16cid:durableId="1488746337">
    <w:abstractNumId w:val="16"/>
  </w:num>
  <w:num w:numId="36" w16cid:durableId="1018316501">
    <w:abstractNumId w:val="47"/>
  </w:num>
  <w:num w:numId="37" w16cid:durableId="43062809">
    <w:abstractNumId w:val="43"/>
  </w:num>
  <w:num w:numId="38" w16cid:durableId="1012073256">
    <w:abstractNumId w:val="36"/>
  </w:num>
  <w:num w:numId="39" w16cid:durableId="1651401869">
    <w:abstractNumId w:val="31"/>
  </w:num>
  <w:num w:numId="40" w16cid:durableId="1471360464">
    <w:abstractNumId w:val="27"/>
  </w:num>
  <w:num w:numId="41" w16cid:durableId="750350904">
    <w:abstractNumId w:val="19"/>
  </w:num>
  <w:num w:numId="42" w16cid:durableId="1749306480">
    <w:abstractNumId w:val="26"/>
  </w:num>
  <w:num w:numId="43" w16cid:durableId="1724668940">
    <w:abstractNumId w:val="50"/>
  </w:num>
  <w:num w:numId="44" w16cid:durableId="96951399">
    <w:abstractNumId w:val="38"/>
  </w:num>
  <w:num w:numId="45" w16cid:durableId="1252350013">
    <w:abstractNumId w:val="46"/>
  </w:num>
  <w:num w:numId="46" w16cid:durableId="691762190">
    <w:abstractNumId w:val="33"/>
  </w:num>
  <w:num w:numId="47" w16cid:durableId="1138448601">
    <w:abstractNumId w:val="35"/>
  </w:num>
  <w:num w:numId="48" w16cid:durableId="888685036">
    <w:abstractNumId w:val="40"/>
  </w:num>
  <w:num w:numId="49" w16cid:durableId="2124421263">
    <w:abstractNumId w:val="22"/>
  </w:num>
  <w:num w:numId="50" w16cid:durableId="1768963481">
    <w:abstractNumId w:val="13"/>
  </w:num>
  <w:num w:numId="51" w16cid:durableId="29962680">
    <w:abstractNumId w:val="52"/>
  </w:num>
  <w:num w:numId="52" w16cid:durableId="479078790">
    <w:abstractNumId w:val="14"/>
  </w:num>
  <w:num w:numId="53" w16cid:durableId="904024447">
    <w:abstractNumId w:val="23"/>
  </w:num>
  <w:num w:numId="54" w16cid:durableId="1965230672">
    <w:abstractNumId w:val="45"/>
  </w:num>
  <w:num w:numId="55" w16cid:durableId="576209235">
    <w:abstractNumId w:val="18"/>
  </w:num>
  <w:num w:numId="56" w16cid:durableId="780420379">
    <w:abstractNumId w:val="30"/>
  </w:num>
  <w:num w:numId="57" w16cid:durableId="10160828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80DFD"/>
    <w:rsid w:val="00095B18"/>
    <w:rsid w:val="000A548A"/>
    <w:rsid w:val="000A7A54"/>
    <w:rsid w:val="000E5761"/>
    <w:rsid w:val="000F2918"/>
    <w:rsid w:val="001148E7"/>
    <w:rsid w:val="001152FB"/>
    <w:rsid w:val="00120167"/>
    <w:rsid w:val="00122C5F"/>
    <w:rsid w:val="001374FA"/>
    <w:rsid w:val="001519DD"/>
    <w:rsid w:val="001616E4"/>
    <w:rsid w:val="00162913"/>
    <w:rsid w:val="0016302F"/>
    <w:rsid w:val="00164DF7"/>
    <w:rsid w:val="00172BD3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3579"/>
    <w:rsid w:val="001C48B1"/>
    <w:rsid w:val="001C5AEB"/>
    <w:rsid w:val="001E75D8"/>
    <w:rsid w:val="001F3AF3"/>
    <w:rsid w:val="001F5227"/>
    <w:rsid w:val="00201CA1"/>
    <w:rsid w:val="002056C2"/>
    <w:rsid w:val="002071AF"/>
    <w:rsid w:val="00230B48"/>
    <w:rsid w:val="00234B5E"/>
    <w:rsid w:val="00236399"/>
    <w:rsid w:val="00242B49"/>
    <w:rsid w:val="00270080"/>
    <w:rsid w:val="00282037"/>
    <w:rsid w:val="002867EB"/>
    <w:rsid w:val="0029141D"/>
    <w:rsid w:val="002A17E3"/>
    <w:rsid w:val="002A42DD"/>
    <w:rsid w:val="002B18FF"/>
    <w:rsid w:val="002C2AFE"/>
    <w:rsid w:val="002C7FEC"/>
    <w:rsid w:val="002D46D3"/>
    <w:rsid w:val="002D566C"/>
    <w:rsid w:val="002F3B00"/>
    <w:rsid w:val="002F686C"/>
    <w:rsid w:val="00305D44"/>
    <w:rsid w:val="003240D9"/>
    <w:rsid w:val="00327F07"/>
    <w:rsid w:val="0033197A"/>
    <w:rsid w:val="003352DF"/>
    <w:rsid w:val="0034134E"/>
    <w:rsid w:val="00347B82"/>
    <w:rsid w:val="0035356F"/>
    <w:rsid w:val="00355E23"/>
    <w:rsid w:val="00357A13"/>
    <w:rsid w:val="00357A98"/>
    <w:rsid w:val="0036233C"/>
    <w:rsid w:val="003645E3"/>
    <w:rsid w:val="00377770"/>
    <w:rsid w:val="00380FE8"/>
    <w:rsid w:val="003859B2"/>
    <w:rsid w:val="00395DA8"/>
    <w:rsid w:val="003B4D09"/>
    <w:rsid w:val="003C73D9"/>
    <w:rsid w:val="003D1BD1"/>
    <w:rsid w:val="003E115F"/>
    <w:rsid w:val="003E3CD3"/>
    <w:rsid w:val="003E6980"/>
    <w:rsid w:val="003E69F7"/>
    <w:rsid w:val="003F2095"/>
    <w:rsid w:val="003F6908"/>
    <w:rsid w:val="00402E3B"/>
    <w:rsid w:val="004043C5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2B81"/>
    <w:rsid w:val="00464306"/>
    <w:rsid w:val="00464A70"/>
    <w:rsid w:val="00465629"/>
    <w:rsid w:val="00465FC2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500BB8"/>
    <w:rsid w:val="00521AFB"/>
    <w:rsid w:val="005327BD"/>
    <w:rsid w:val="005359F1"/>
    <w:rsid w:val="00540A2E"/>
    <w:rsid w:val="005433F7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B6398"/>
    <w:rsid w:val="005C1FE0"/>
    <w:rsid w:val="005C2F2F"/>
    <w:rsid w:val="005C4E39"/>
    <w:rsid w:val="005C74A7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C63"/>
    <w:rsid w:val="007018F6"/>
    <w:rsid w:val="007021FC"/>
    <w:rsid w:val="0071106A"/>
    <w:rsid w:val="007111D8"/>
    <w:rsid w:val="0071145F"/>
    <w:rsid w:val="00711564"/>
    <w:rsid w:val="00722D09"/>
    <w:rsid w:val="0074125E"/>
    <w:rsid w:val="007632C9"/>
    <w:rsid w:val="007669D6"/>
    <w:rsid w:val="00773AF1"/>
    <w:rsid w:val="007A4751"/>
    <w:rsid w:val="007B28C4"/>
    <w:rsid w:val="007B478B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569A"/>
    <w:rsid w:val="0084069F"/>
    <w:rsid w:val="008428E5"/>
    <w:rsid w:val="00843851"/>
    <w:rsid w:val="00845F26"/>
    <w:rsid w:val="0084720B"/>
    <w:rsid w:val="00852EFB"/>
    <w:rsid w:val="00854D30"/>
    <w:rsid w:val="00856C1D"/>
    <w:rsid w:val="00874FEF"/>
    <w:rsid w:val="00875D98"/>
    <w:rsid w:val="00882D6A"/>
    <w:rsid w:val="0088305B"/>
    <w:rsid w:val="00885559"/>
    <w:rsid w:val="00886819"/>
    <w:rsid w:val="0088690C"/>
    <w:rsid w:val="008A1FC8"/>
    <w:rsid w:val="008C12F3"/>
    <w:rsid w:val="008C78BC"/>
    <w:rsid w:val="008E0A0E"/>
    <w:rsid w:val="008E55A9"/>
    <w:rsid w:val="008F1332"/>
    <w:rsid w:val="00901829"/>
    <w:rsid w:val="0090231A"/>
    <w:rsid w:val="00907B67"/>
    <w:rsid w:val="00911E6D"/>
    <w:rsid w:val="0091372D"/>
    <w:rsid w:val="0094556C"/>
    <w:rsid w:val="00951770"/>
    <w:rsid w:val="00964FD0"/>
    <w:rsid w:val="009902A7"/>
    <w:rsid w:val="00990556"/>
    <w:rsid w:val="0099118D"/>
    <w:rsid w:val="009924DE"/>
    <w:rsid w:val="00997945"/>
    <w:rsid w:val="009A3165"/>
    <w:rsid w:val="009B128D"/>
    <w:rsid w:val="009C31F1"/>
    <w:rsid w:val="009D4263"/>
    <w:rsid w:val="009F2739"/>
    <w:rsid w:val="00A0173B"/>
    <w:rsid w:val="00A049AD"/>
    <w:rsid w:val="00A10B01"/>
    <w:rsid w:val="00A1765A"/>
    <w:rsid w:val="00A34712"/>
    <w:rsid w:val="00A34A9E"/>
    <w:rsid w:val="00A36857"/>
    <w:rsid w:val="00A61256"/>
    <w:rsid w:val="00A73039"/>
    <w:rsid w:val="00A86BFF"/>
    <w:rsid w:val="00A9204E"/>
    <w:rsid w:val="00A923A1"/>
    <w:rsid w:val="00AA2195"/>
    <w:rsid w:val="00AA3824"/>
    <w:rsid w:val="00AB0137"/>
    <w:rsid w:val="00AB3808"/>
    <w:rsid w:val="00AB51D1"/>
    <w:rsid w:val="00AB74B0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913"/>
    <w:rsid w:val="00B40508"/>
    <w:rsid w:val="00B46B41"/>
    <w:rsid w:val="00B47589"/>
    <w:rsid w:val="00B530A1"/>
    <w:rsid w:val="00B62FC5"/>
    <w:rsid w:val="00B70A74"/>
    <w:rsid w:val="00B70BBE"/>
    <w:rsid w:val="00B72F10"/>
    <w:rsid w:val="00B73659"/>
    <w:rsid w:val="00B83FB7"/>
    <w:rsid w:val="00BA15A1"/>
    <w:rsid w:val="00BB00D0"/>
    <w:rsid w:val="00BC3A05"/>
    <w:rsid w:val="00BC3AE0"/>
    <w:rsid w:val="00BD47F2"/>
    <w:rsid w:val="00BD6BCC"/>
    <w:rsid w:val="00BF369C"/>
    <w:rsid w:val="00BF7FBB"/>
    <w:rsid w:val="00C0051A"/>
    <w:rsid w:val="00C151DF"/>
    <w:rsid w:val="00C47C5D"/>
    <w:rsid w:val="00C55332"/>
    <w:rsid w:val="00C638A4"/>
    <w:rsid w:val="00C64D4E"/>
    <w:rsid w:val="00C757FA"/>
    <w:rsid w:val="00C84D3E"/>
    <w:rsid w:val="00C97B9E"/>
    <w:rsid w:val="00CA308B"/>
    <w:rsid w:val="00CA4EF8"/>
    <w:rsid w:val="00CB0C2B"/>
    <w:rsid w:val="00CB16EF"/>
    <w:rsid w:val="00CB254B"/>
    <w:rsid w:val="00CD044F"/>
    <w:rsid w:val="00CD4402"/>
    <w:rsid w:val="00CD74CA"/>
    <w:rsid w:val="00CE5C99"/>
    <w:rsid w:val="00CE6951"/>
    <w:rsid w:val="00D0611E"/>
    <w:rsid w:val="00D2143D"/>
    <w:rsid w:val="00D2145A"/>
    <w:rsid w:val="00D21B55"/>
    <w:rsid w:val="00D22561"/>
    <w:rsid w:val="00D23FC9"/>
    <w:rsid w:val="00D26923"/>
    <w:rsid w:val="00D26B47"/>
    <w:rsid w:val="00D46848"/>
    <w:rsid w:val="00D5587E"/>
    <w:rsid w:val="00D60F49"/>
    <w:rsid w:val="00D86996"/>
    <w:rsid w:val="00D879D1"/>
    <w:rsid w:val="00D97EC8"/>
    <w:rsid w:val="00DC03BD"/>
    <w:rsid w:val="00DC7F7F"/>
    <w:rsid w:val="00DD29E1"/>
    <w:rsid w:val="00DE10DE"/>
    <w:rsid w:val="00DE2F0A"/>
    <w:rsid w:val="00DE38F7"/>
    <w:rsid w:val="00DE3EB6"/>
    <w:rsid w:val="00DE5215"/>
    <w:rsid w:val="00DF5556"/>
    <w:rsid w:val="00E023F8"/>
    <w:rsid w:val="00E07370"/>
    <w:rsid w:val="00E07C97"/>
    <w:rsid w:val="00E21666"/>
    <w:rsid w:val="00E32550"/>
    <w:rsid w:val="00E35BE5"/>
    <w:rsid w:val="00E37FB3"/>
    <w:rsid w:val="00E44FC2"/>
    <w:rsid w:val="00E61D50"/>
    <w:rsid w:val="00E67B15"/>
    <w:rsid w:val="00E75089"/>
    <w:rsid w:val="00E80B8A"/>
    <w:rsid w:val="00E815F0"/>
    <w:rsid w:val="00E96561"/>
    <w:rsid w:val="00EA7E99"/>
    <w:rsid w:val="00EC544B"/>
    <w:rsid w:val="00EC713A"/>
    <w:rsid w:val="00EC7FA1"/>
    <w:rsid w:val="00ED1532"/>
    <w:rsid w:val="00EE0EDD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26131"/>
    <w:rsid w:val="00F3122E"/>
    <w:rsid w:val="00F3667D"/>
    <w:rsid w:val="00F44722"/>
    <w:rsid w:val="00F44B2E"/>
    <w:rsid w:val="00F728F7"/>
    <w:rsid w:val="00F75891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D7E9A"/>
    <w:rsid w:val="00FE33C8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EA59D2C-362E-44F8-8E3F-B9AD707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{6BF25FA4-C0CB-4666-B8A5-A918041E526E}tf02786999_win32.dotx</Template>
  <TotalTime>249</TotalTime>
  <Pages>7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Jasenka</cp:lastModifiedBy>
  <cp:revision>55</cp:revision>
  <dcterms:created xsi:type="dcterms:W3CDTF">2024-10-11T11:36:00Z</dcterms:created>
  <dcterms:modified xsi:type="dcterms:W3CDTF">2025-09-10T06:40:00Z</dcterms:modified>
</cp:coreProperties>
</file>